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63_1" w:id="100001"/>
      <w:bookmarkStart w:name="book65810162-1ef8-4efb-9d21-f17820970f1e_1" w:id="100002"/>
      <w:r>
        <w:t>argSz</w:t>
      </w:r>
      <w:r>
        <w:t xml:space="preserve"> (Argument Size)</w:t>
      </w:r>
      <w:bookmarkEnd w:id="100001"/>
    </w:p>
    <w:bookmarkEnd w:id="100002"/>
    <w:p w:rsidRDefault="00675CE4" w:rsidP="00675CE4" w:rsidR="00675CE4">
      <w:pPr>
        <w:rPr>
          <w:oMath/>
        </w:rPr>
      </w:pPr>
      <w:r>
        <w:t>This element specifies the size, or script level, of an argument. If the element is omitted, the default argument size is 0. [</w:t>
      </w:r>
      <w:r>
        <w:t>Example</w:t>
      </w:r>
      <w:r>
        <w:t xml:space="preserve">: The following example contains three runs: regular text in the equation, a </w:t>
      </w:r>
      <w:r>
        <w:t/>
      </w:r>
      <w:hyperlink r:id="rId8">
        <w:r>
          <w:rPr>
            <w:rStyle w:val="Hyperlink"/>
          </w:rPr>
          <w:t>box</w:t>
        </w:r>
      </w:hyperlink>
      <w:r>
        <w:t/>
      </w:r>
      <w:r>
        <w:t xml:space="preserve"> object with the base at script size </w:t>
      </w:r>
      <w:r>
        <w:t>(val=-1)</w:t>
      </w:r>
      <w:r>
        <w:t xml:space="preserve"> and a </w:t>
      </w:r>
      <w:r>
        <w:t/>
      </w:r>
      <w:hyperlink r:id="rId8">
        <w:r>
          <w:rPr>
            <w:rStyle w:val="Hyperlink"/>
          </w:rPr>
          <w:t>box</w:t>
        </w:r>
      </w:hyperlink>
      <w:r>
        <w:t/>
      </w:r>
      <w:r>
        <w:t xml:space="preserve"> object with the base at script-script size </w:t>
      </w:r>
      <w:r>
        <w:t>(val=-2).</w:t>
      </w:r>
      <w:r>
        <w:br/>
      </w:r>
      <m:oMathPara>
        <m:oMathParaPr>
          <m:jc m:val="centerGroup"/>
        </m:oMathParaPr>
        <m:oMath>
          <m:r>
            <w:rPr>
              <w:rFonts w:hAnsi="Cambria Math" w:ascii="Cambria Math"/>
            </w:rPr>
            <m:t>abc</m:t>
          </m:r>
          <m:box>
            <m:boxPr>
              <m:noBreak m:val="0"/>
              <m:ctrlPr>
                <w:rPr>
                  <w:rFonts w:hAnsi="Cambria Math" w:ascii="Cambria Math"/>
                </w:rPr>
              </m:ctrlPr>
            </m:boxPr>
            <m:e>
              <m:argPr>
                <m:argSz m:val="-1"/>
              </m:argPr>
              <m:r>
                <w:rPr>
                  <w:rFonts w:hAnsi="Cambria Math" w:ascii="Cambria Math"/>
                </w:rPr>
                <m:t>abc</m:t>
              </m:r>
            </m:e>
          </m:box>
          <m:box>
            <m:boxPr>
              <m:diff m:val="1"/>
              <m:ctrlPr>
                <w:rPr>
                  <w:rFonts w:hAnsi="Cambria Math" w:ascii="Cambria Math"/>
                </w:rPr>
              </m:ctrlPr>
            </m:boxPr>
            <m:e>
              <m:argPr>
                <m:argSz m:val="-2"/>
              </m:argPr>
              <m:r>
                <w:rPr>
                  <w:rFonts w:hAnsi="Cambria Math" w:ascii="Cambria Math"/>
                </w:rPr>
                <m:t>abc</m:t>
              </m:r>
            </m:e>
          </m:box>
        </m:oMath>
      </m:oMathPara>
    </w:p>
    <w:p w:rsidRDefault="00675CE4" w:rsidP="00675CE4" w:rsidR="00675CE4">
      <w:r>
        <w:t xml:space="preserve">The XML below shows </w:t>
      </w:r>
      <w:r>
        <w:t>argSize</w:t>
      </w:r>
      <w:r>
        <w:t xml:space="preserve"> used in the middle </w:t>
      </w:r>
      <w:r>
        <w:t/>
      </w:r>
      <w:hyperlink r:id="rId8">
        <w:r>
          <w:rPr>
            <w:rStyle w:val="Hyperlink"/>
          </w:rPr>
          <w:t>box</w:t>
        </w:r>
      </w:hyperlink>
      <w:r>
        <w:t/>
      </w:r>
      <w:r>
        <w:t>.</w:t>
      </w:r>
    </w:p>
    <w:p w:rsidRDefault="00675CE4" w:rsidP="00675CE4" w:rsidR="00675CE4">
      <w:pPr>
        <w:pStyle w:val="c"/>
      </w:pPr>
      <w:r>
        <w:t>&lt;m:box&gt;</w:t>
      </w:r>
      <w:r>
        <w:br/>
      </w:r>
      <w:r>
        <w:t xml:space="preserve">  &lt;m:boxPr&gt;</w:t>
      </w:r>
      <w:r>
        <w:br/>
      </w:r>
      <w:r>
        <w:t xml:space="preserve">    &lt;m:noBreak m:val="off"/&gt;</w:t>
      </w:r>
      <w:r>
        <w:br/>
      </w:r>
      <w:r>
        <w:t xml:space="preserve">  &lt;/m:boxPr&gt;</w:t>
      </w:r>
    </w:p>
    <w:p w:rsidRDefault="00675CE4" w:rsidP="00675CE4" w:rsidR="00675CE4">
      <w:pPr>
        <w:pStyle w:val="c"/>
        <w:rPr>
          <w:lang w:val="de-DE"/>
        </w:rPr>
      </w:pPr>
      <w:r>
        <w:t xml:space="preserve">  </w:t>
      </w:r>
      <w:r>
        <w:t>&lt;m:e&gt;</w:t>
      </w:r>
      <w:r>
        <w:br/>
      </w:r>
      <w:r>
        <w:t xml:space="preserve">    &lt;m:argPr&gt;</w:t>
      </w:r>
      <w:r>
        <w:br/>
      </w:r>
      <w:r>
        <w:t xml:space="preserve">      &lt;m:argSz m:val="-1"/&gt;</w:t>
      </w:r>
      <w:r>
        <w:br/>
      </w:r>
      <w:r>
        <w:t xml:space="preserve">    &lt;/m:argPr&gt;</w:t>
      </w:r>
      <w:r>
        <w:br/>
      </w:r>
      <w:r>
        <w:t xml:space="preserve">    &lt;m:r&gt;</w:t>
      </w:r>
      <w:r>
        <w:br/>
      </w:r>
      <w:r>
        <w:t xml:space="preserve">      &lt;m:t&gt;abc&lt;/m:t&gt;</w:t>
      </w:r>
      <w:r>
        <w:br/>
      </w:r>
      <w:r>
        <w:t xml:space="preserve">    &lt;/m:t&gt;</w:t>
      </w:r>
      <w:r>
        <w:br/>
      </w:r>
      <w:r>
        <w:t xml:space="preserve">  &lt;/m:e&gt;</w:t>
      </w:r>
      <w:r>
        <w:br/>
      </w:r>
      <w:r>
        <w:t>&lt;/m:box&gt;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argPr</w:t>
              </w:r>
            </w:hyperlink>
            <w:r>
              <w:t/>
            </w:r>
            <w:r>
              <w:t xml:space="preserve"> (§</w:t>
            </w:r>
            <w:fldSimple w:instr="REF book94424477-a19e-427f-b3f8-c04cdd849983 \r \h">
              <w:r>
                <w:t>7.1.2.5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value between -2 and 2 for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 The positive or negative sign specifies in which direction to change argument size; the absolute value specifies by how much. </w:t>
            </w:r>
          </w:p>
          <w:p w:rsidRDefault="00675CE4" w:rsidP="002E5918" w:rsidR="00675CE4"/>
          <w:p w:rsidRDefault="00675CE4" w:rsidP="002E5918" w:rsidR="00675CE4">
            <w:r>
              <w:t xml:space="preserve">The table below represents two cases in which argument size can be changed: superscripts and boxes. </w:t>
            </w:r>
          </w:p>
          <w:p w:rsidRDefault="00675CE4" w:rsidP="002E5918" w:rsidR="00675CE4"/>
          <w:p w:rsidRDefault="00675CE4" w:rsidP="002E5918" w:rsidR="00675CE4">
            <w:r>
              <w:t>In the superscript object </w:t>
            </w:r>
            <m:oMath>
              <m:sSup>
                <m:sSupPr>
                  <m:ctrlPr>
                    <w:rPr>
                      <w:rFonts w:hAnsi="Cambria Math" w:ascii="Cambria Math"/>
                    </w:rPr>
                  </m:ctrlPr>
                </m:sSupPr>
                <m:e>
                  <m:r>
                    <w:rPr>
                      <w:rFonts w:hAnsi="Cambria Math" w:ascii="Cambria Math"/>
                    </w:rPr>
                    <m:t>a</m:t>
                  </m:r>
                </m:e>
                <m:sup>
                  <m:sSup>
                    <m:sSupPr>
                      <m:ctrlPr>
                        <w:rPr>
                          <w:rFonts w:hAnsi="Cambria Math" w:ascii="Cambria Math"/>
                        </w:rPr>
                      </m:ctrlPr>
                    </m:sSupPr>
                    <m:e>
                      <m:r>
                        <w:rPr>
                          <w:rFonts w:hAnsi="Cambria Math" w:ascii="Cambria Math"/>
                        </w:rPr>
                        <m:t>b</m:t>
                      </m:r>
                    </m:e>
                    <m:sup>
                      <m:r>
                        <w:rPr>
                          <w:rFonts w:hAnsi="Cambria Math" w:ascii="Cambria Math"/>
                        </w:rPr>
                        <m:t>c</m:t>
                      </m:r>
                    </m:sup>
                  </m:sSup>
                </m:sup>
              </m:sSup>
            </m:oMath>
            <w:r>
              <w:t xml:space="preserve">, by default the term </w:t>
            </w:r>
            <m:oMath>
              <m:r>
                <w:rPr>
                  <w:rFonts w:hAnsi="Cambria Math" w:ascii="Cambria Math"/>
                </w:rPr>
                <m:t>c</m:t>
              </m:r>
            </m:oMath>
            <w:r>
              <w:t xml:space="preserve"> has script-script size. Should the user wish for the </w:t>
            </w:r>
            <m:oMath>
              <m:r>
                <w:rPr>
                  <w:rFonts w:hAnsi="Cambria Math" w:ascii="Cambria Math"/>
                </w:rPr>
                <m:t>c</m:t>
              </m:r>
            </m:oMath>
            <w:r>
              <w:t xml:space="preserve"> to be shown at script size, </w:t>
            </w:r>
            <w:r>
              <w:t xml:space="preserve">val </w:t>
            </w:r>
            <w:r>
              <w:t xml:space="preserve">should be set to +1 (that is, one size larger). Should the user wish for </w:t>
            </w:r>
            <m:oMath>
              <m:r>
                <w:rPr>
                  <w:rFonts w:hAnsi="Cambria Math" w:ascii="Cambria Math"/>
                </w:rPr>
                <m:t>c</m:t>
              </m:r>
            </m:oMath>
            <w:r>
              <w:t xml:space="preserve"> to be shown at text size, </w:t>
            </w:r>
            <w:r>
              <w:t xml:space="preserve">val </w:t>
            </w:r>
            <w:r>
              <w:t>should be set to +2 (that is, two sizes larger).</w:t>
            </w:r>
          </w:p>
          <w:p w:rsidRDefault="00675CE4" w:rsidP="002E5918" w:rsidR="00675CE4"/>
          <w:tbl>
            <w:tblPr>
              <w:tblStyle w:val="ElementTable"/>
              <w:tblW w:type="auto" w:w="0"/>
              <w:tblLayout w:type="fixed"/>
              <w:tblLook w:val="04A0" w:noVBand="1" w:noHBand="0" w:lastColumn="0" w:firstColumn="1" w:lastRow="0" w:firstRow="1"/>
            </w:tblPr>
            <w:tblGrid>
              <w:gridCol w:w="4001"/>
              <w:gridCol w:w="4002"/>
            </w:tblGrid>
            <w:tr w:rsidTr="002E5918" w:rsidR="00675CE4">
              <w:trPr>
                <w:cnfStyle w:val="100000000000"/>
              </w:trPr>
              <w:tc>
                <w:tcPr>
                  <w:tcW w:type="dxa" w:w="4001"/>
                </w:tcPr>
                <w:p w:rsidRDefault="00675CE4" w:rsidP="002E5918" w:rsidR="00675CE4">
                  <w:pPr>
                    <w:rPr>
                      <w:rStyle w:val="Attributevalue"/>
                    </w:rPr>
                  </w:pPr>
                  <w:r>
                    <w:t xml:space="preserve">val </w:t>
                  </w:r>
                  <w:r>
                    <w:t xml:space="preserve">of </w:t>
                  </w:r>
                  <m:oMath>
                    <m:r>
                      <m:rPr>
                        <m:sty m:val="bi"/>
                      </m:rPr>
                      <w:rPr>
                        <w:rFonts w:hAnsi="Cambria Math" w:ascii="Cambria Math"/>
                      </w:rPr>
                      <m:t>c</m:t>
                    </m:r>
                  </m:oMath>
                  <w:r>
                    <w:t xml:space="preserve"> </w:t>
                  </w:r>
                  <w:r>
                    <w:t xml:space="preserve">in </w:t>
                  </w:r>
                  <m:oMath>
                    <m:sSup>
                      <m:sSupPr>
                        <m:ctrlPr>
                          <w:rPr>
                            <w:rFonts w:hAnsi="Cambria Math" w:asci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hAnsi="Cambria Math" w:ascii="Cambria Math"/>
                          </w:rPr>
                          <m:t>a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hAnsi="Cambria Math" w:asci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hAnsi="Cambria Math" w:asci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hAnsi="Cambria Math" w:ascii="Cambria Math"/>
                              </w:rPr>
                              <m:t>c</m:t>
                            </m:r>
                          </m:sup>
                        </m:sSup>
                      </m:sup>
                    </m:sSup>
                  </m:oMath>
                </w:p>
              </w:tc>
              <w:tc>
                <w:tcPr>
                  <w:tcW w:type="dxa" w:w="4002"/>
                </w:tcPr>
                <w:p w:rsidRDefault="00675CE4" w:rsidP="002E5918" w:rsidR="00675CE4">
                  <w:r>
                    <w:t>Display</w:t>
                  </w:r>
                </w:p>
              </w:tc>
            </w:tr>
            <w:tr w:rsidTr="002E5918" w:rsidR="00675CE4">
              <w:tc>
                <w:tcPr>
                  <w:tcW w:type="dxa" w:w="4001"/>
                </w:tcPr>
                <w:p w:rsidRDefault="00675CE4" w:rsidP="002E5918" w:rsidR="00675CE4">
                  <w:r>
                    <w:t>Default</w:t>
                  </w:r>
                </w:p>
              </w:tc>
              <w:tc>
                <w:tcPr>
                  <w:tcW w:type="dxa" w:w="4002"/>
                </w:tcPr>
                <w:p w:rsidRDefault="00675CE4" w:rsidP="002E5918" w:rsidR="00675CE4"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hAnsi="Cambria Math" w:ascii="Cambria Math"/>
                            </w:rPr>
                          </m:ctrlPr>
                        </m:sSupPr>
                        <m:e>
                          <m:r>
                            <w:rPr>
                              <w:rFonts w:hAnsi="Cambria Math" w:ascii="Cambria Math"/>
                            </w:rPr>
                            <m:t>a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hAnsi="Cambria Math" w:asci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hAnsi="Cambria Math" w:asci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hAnsi="Cambria Math" w:ascii="Cambria Math"/>
                                </w:rPr>
                                <m:t>c</m:t>
                              </m:r>
                            </m:sup>
                          </m:sSup>
                        </m:sup>
                      </m:sSup>
                    </m:oMath>
                  </m:oMathPara>
                </w:p>
              </w:tc>
            </w:tr>
            <w:tr w:rsidTr="002E5918" w:rsidR="00675CE4">
              <w:tc>
                <w:tcPr>
                  <w:tcW w:type="dxa" w:w="4001"/>
                </w:tcPr>
                <w:p w:rsidRDefault="00675CE4" w:rsidP="002E5918" w:rsidR="00675CE4">
                  <w:r>
                    <w:t>+1</w:t>
                  </w:r>
                </w:p>
              </w:tc>
              <w:tc>
                <w:tcPr>
                  <w:tcW w:type="dxa" w:w="4002"/>
                </w:tcPr>
                <w:p w:rsidRDefault="00675CE4" w:rsidP="002E5918" w:rsidR="00675CE4"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hAnsi="Cambria Math" w:ascii="Cambria Math"/>
                            </w:rPr>
                          </m:ctrlPr>
                        </m:sSupPr>
                        <m:e>
                          <m:r>
                            <w:rPr>
                              <w:rFonts w:hAnsi="Cambria Math" w:ascii="Cambria Math"/>
                            </w:rPr>
                            <m:t>a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hAnsi="Cambria Math" w:asci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hAnsi="Cambria Math" w:ascii="Cambria Math"/>
                                </w:rPr>
                                <m:t>b</m:t>
                              </m:r>
                            </m:e>
                            <m:sup>
                              <m:argPr>
                                <m:argSz m:val="1"/>
                              </m:argPr>
                              <m:r>
                                <w:rPr>
                                  <w:rFonts w:hAnsi="Cambria Math" w:ascii="Cambria Math"/>
                                </w:rPr>
                                <m:t>c</m:t>
                              </m:r>
                            </m:sup>
                          </m:sSup>
                        </m:sup>
                      </m:sSup>
                    </m:oMath>
                  </m:oMathPara>
                </w:p>
              </w:tc>
            </w:tr>
            <w:tr w:rsidTr="002E5918" w:rsidR="00675CE4">
              <w:tc>
                <w:tcPr>
                  <w:tcW w:type="dxa" w:w="4001"/>
                </w:tcPr>
                <w:p w:rsidRDefault="00675CE4" w:rsidP="002E5918" w:rsidR="00675CE4">
                  <w:r>
                    <w:t>+2</w:t>
                  </w:r>
                </w:p>
              </w:tc>
              <w:tc>
                <w:tcPr>
                  <w:tcW w:type="dxa" w:w="4002"/>
                </w:tcPr>
                <w:p w:rsidRDefault="00675CE4" w:rsidP="002E5918" w:rsidR="00675CE4"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hAnsi="Cambria Math" w:ascii="Cambria Math"/>
                            </w:rPr>
                          </m:ctrlPr>
                        </m:sSupPr>
                        <m:e>
                          <m:r>
                            <w:rPr>
                              <w:rFonts w:hAnsi="Cambria Math" w:ascii="Cambria Math"/>
                            </w:rPr>
                            <m:t>a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hAnsi="Cambria Math" w:asci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hAnsi="Cambria Math" w:ascii="Cambria Math"/>
                                </w:rPr>
                                <m:t>b</m:t>
                              </m:r>
                            </m:e>
                            <m:sup>
                              <m:argPr>
                                <m:argSz m:val="2"/>
                              </m:argPr>
                              <m:r>
                                <w:rPr>
                                  <w:rFonts w:hAnsi="Cambria Math" w:ascii="Cambria Math"/>
                                </w:rPr>
                                <m:t>c</m:t>
                              </m:r>
                            </m:sup>
                          </m:sSup>
                        </m:sup>
                      </m:sSup>
                    </m:oMath>
                  </m:oMathPara>
                </w:p>
              </w:tc>
            </w:tr>
          </w:tbl>
          <w:p w:rsidRDefault="00675CE4" w:rsidP="002E5918" w:rsidR="00675CE4"/>
          <w:tbl>
            <w:tblPr>
              <w:tblStyle w:val="ElementTable"/>
              <w:tblW w:type="auto" w:w="0"/>
              <w:tblLayout w:type="fixed"/>
              <w:tblLook w:val="04A0" w:noVBand="1" w:noHBand="0" w:lastColumn="0" w:firstColumn="1" w:lastRow="0" w:firstRow="1"/>
            </w:tblPr>
            <w:tblGrid>
              <w:gridCol w:w="4001"/>
              <w:gridCol w:w="4002"/>
            </w:tblGrid>
            <w:tr w:rsidTr="002E5918" w:rsidR="00675CE4">
              <w:trPr>
                <w:cnfStyle w:val="100000000000"/>
              </w:trPr>
              <w:tc>
                <w:tcPr>
                  <w:tcW w:type="dxa" w:w="4001"/>
                </w:tcPr>
                <w:p w:rsidRDefault="00675CE4" w:rsidP="002E5918" w:rsidR="00675CE4">
                  <w:pPr>
                    <w:rPr>
                      <w:rStyle w:val="Attributevalue"/>
                    </w:rPr>
                  </w:pPr>
                  <w:r>
                    <w:t xml:space="preserve">val </w:t>
                  </w:r>
                  <w:r>
                    <w:t xml:space="preserve">of </w:t>
                  </w:r>
                  <m:oMath>
                    <m:r>
                      <m:rPr>
                        <m:sty m:val="bi"/>
                      </m:rPr>
                      <w:rPr>
                        <w:rFonts w:hAnsi="Cambria Math" w:ascii="Cambria Math"/>
                      </w:rPr>
                      <m:t>abc</m:t>
                    </m:r>
                  </m:oMath>
                </w:p>
              </w:tc>
              <w:tc>
                <w:tcPr>
                  <w:tcW w:type="dxa" w:w="4002"/>
                </w:tcPr>
                <w:p w:rsidRDefault="00675CE4" w:rsidP="002E5918" w:rsidR="00675CE4">
                  <w:r>
                    <w:t>Display</w:t>
                  </w:r>
                </w:p>
              </w:tc>
            </w:tr>
            <w:tr w:rsidTr="002E5918" w:rsidR="00675CE4">
              <w:tc>
                <w:tcPr>
                  <w:tcW w:type="dxa" w:w="4001"/>
                </w:tcPr>
                <w:p w:rsidRDefault="00675CE4" w:rsidP="002E5918" w:rsidR="00675CE4">
                  <w:r>
                    <w:t>Default</w:t>
                  </w:r>
                </w:p>
              </w:tc>
              <w:tc>
                <w:tcPr>
                  <w:tcW w:type="dxa" w:w="4002"/>
                </w:tcPr>
                <w:p w:rsidRDefault="00675CE4" w:rsidP="002E5918" w:rsidR="00675CE4">
                  <m:oMathPara>
                    <m:oMathParaPr>
                      <m:jc m:val="left"/>
                    </m:oMathParaPr>
                    <m:oMath>
                      <m:box>
                        <m:boxPr>
                          <m:noBreak m:val="0"/>
                          <m:ctrlPr>
                            <w:rPr>
                              <w:rFonts w:cs="Arial" w:hAnsi="Cambria Math" w:ascii="Cambria Math"/>
                            </w:rPr>
                          </m:ctrlPr>
                        </m:boxPr>
                        <m:e>
                          <m:r>
                            <w:rPr>
                              <w:rFonts w:hAnsi="Cambria Math" w:ascii="Cambria Math"/>
                            </w:rPr>
                            <m:t>abc</m:t>
                          </m:r>
                          <m:ctrlPr>
                            <w:rPr>
                              <w:rFonts w:hAnsi="Cambria Math" w:ascii="Cambria Math"/>
                              <w:i/>
                              <w:iCs/>
                            </w:rPr>
                          </m:ctrlPr>
                        </m:e>
                      </m:box>
                    </m:oMath>
                  </m:oMathPara>
                </w:p>
              </w:tc>
            </w:tr>
            <w:tr w:rsidTr="002E5918" w:rsidR="00675CE4">
              <w:tc>
                <w:tcPr>
                  <w:tcW w:type="dxa" w:w="4001"/>
                </w:tcPr>
                <w:p w:rsidRDefault="00675CE4" w:rsidP="002E5918" w:rsidR="00675CE4">
                  <w:r>
                    <w:t>-1</w:t>
                  </w:r>
                </w:p>
              </w:tc>
              <w:tc>
                <w:tcPr>
                  <w:tcW w:type="dxa" w:w="4002"/>
                </w:tcPr>
                <w:p w:rsidRDefault="00675CE4" w:rsidP="002E5918" w:rsidR="00675CE4">
                  <m:oMathPara>
                    <m:oMathParaPr>
                      <m:jc m:val="left"/>
                    </m:oMathParaPr>
                    <m:oMath>
                      <m:box>
                        <m:boxPr>
                          <m:noBreak m:val="0"/>
                          <m:ctrlPr>
                            <w:rPr>
                              <w:rFonts w:hAnsi="Cambria Math" w:ascii="Cambria Math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r>
                            <w:rPr>
                              <w:rFonts w:hAnsi="Cambria Math" w:ascii="Cambria Math"/>
                            </w:rPr>
                            <m:t>abc</m:t>
                          </m:r>
                        </m:e>
                      </m:box>
                    </m:oMath>
                  </m:oMathPara>
                </w:p>
              </w:tc>
            </w:tr>
            <w:tr w:rsidTr="002E5918" w:rsidR="00675CE4">
              <w:tc>
                <w:tcPr>
                  <w:tcW w:type="dxa" w:w="4001"/>
                </w:tcPr>
                <w:p w:rsidRDefault="00675CE4" w:rsidP="002E5918" w:rsidR="00675CE4">
                  <w:r>
                    <w:t>-2</w:t>
                  </w:r>
                </w:p>
              </w:tc>
              <w:tc>
                <w:tcPr>
                  <w:tcW w:type="dxa" w:w="4002"/>
                </w:tcPr>
                <w:p w:rsidRDefault="00675CE4" w:rsidP="002E5918" w:rsidR="00675CE4">
                  <w:pPr>
                    <w:rPr>
                      <w:rFonts w:hAnsi="Calibri" w:ascii="Calibri"/>
                    </w:rPr>
                  </w:pPr>
                  <m:oMathPara>
                    <m:oMathParaPr>
                      <m:jc m:val="left"/>
                    </m:oMathParaPr>
                    <m:oMath>
                      <m:box>
                        <m:boxPr>
                          <m:noBreak m:val="0"/>
                          <m:ctrlPr>
                            <w:rPr>
                              <w:rFonts w:hAnsi="Cambria Math" w:ascii="Cambria Math"/>
                            </w:rPr>
                          </m:ctrlPr>
                        </m:boxPr>
                        <m:e>
                          <m:argPr>
                            <m:argSz m:val="-2"/>
                          </m:argPr>
                          <m:r>
                            <w:rPr>
                              <w:rFonts w:hAnsi="Cambria Math" w:ascii="Cambria Math"/>
                            </w:rPr>
                            <m:t>abc</m:t>
                          </m:r>
                        </m:e>
                      </m:box>
                    </m:oMath>
                  </m:oMathPara>
                </w:p>
              </w:tc>
            </w:tr>
          </w:tbl>
          <w:p w:rsidRDefault="00675CE4" w:rsidP="002E5918" w:rsidR="00675CE4"/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ST_Integer2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3eb9db3-fecd-4d90-a88d-fc2ba131c836 \r \h">
              <w:r>
                <w:t>7.1.3.5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name="CT_Integer2"&gt;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ST_Integer2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x.docx" TargetMode="External"/><Relationship Id="rId9" Type="http://schemas.openxmlformats.org/officeDocument/2006/relationships/hyperlink" Target="argPr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ST_Integer2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