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3_1" w:id="100001"/>
      <w:bookmarkStart w:name="book7816ac48-b216-409f-8049-5b7e4b77d418_1" w:id="100002"/>
      <w:r>
        <w:t/>
      </w:r>
      <w:hyperlink r:id="rId8">
        <w:r>
          <w:rPr>
            <w:rStyle w:val="Hyperlink"/>
          </w:rPr>
          <w:t>to</w:t>
        </w:r>
      </w:hyperlink>
      <w:r>
        <w:t/>
      </w:r>
      <w:r>
        <w:t xml:space="preserve"> (To)</w:t>
      </w:r>
      <w:bookmarkEnd w:id="100001"/>
    </w:p>
    <w:bookmarkEnd w:id="100002"/>
    <w:p w:rsidRDefault="007133A4" w:rsidP="007133A4" w:rsidR="007133A4">
      <w:r>
        <w:t>This element specifies the target location for an animation motion or animation scale effect</w:t>
      </w:r>
    </w:p>
    <w:p w:rsidRDefault="007133A4" w:rsidP="007133A4" w:rsidR="007133A4">
      <w:r>
        <w:t>[Example: Consider an animation with a "light speed" entrance effect.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animScale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cTn</w:t>
        </w:r>
      </w:hyperlink>
      <w:r>
        <w:t xml:space="preserve"> id="9" dur="200" decel="100000" autoRev="1" fill="hold"&gt;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3">
        <w:r>
          <w:rPr>
            <w:rStyle w:val="Hyperlink"/>
          </w:rPr>
          <w:t>cond</w:t>
        </w:r>
      </w:hyperlink>
      <w:r>
        <w:t xml:space="preserve"> delay="600"/&gt;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stCondLst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&lt;/p:</w:t>
      </w:r>
      <w:hyperlink r:id="rId14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6">
        <w:r>
          <w:rPr>
            <w:rStyle w:val="Hyperlink"/>
          </w:rPr>
          <w:t>from</w:t>
        </w:r>
      </w:hyperlink>
      <w:r>
        <w:t xml:space="preserve"> x="100000" y="100000"/&gt;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to</w:t>
        </w:r>
      </w:hyperlink>
      <w:r>
        <w:t xml:space="preserve"> x="80000" y="100000"/&gt;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animScale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(§</w:t>
            </w:r>
            <w:fldSimple w:instr="REF book22c7f75e-07ff-4848-82f4-4e0d5dd7b87c \r \h">
              <w:r>
                <w:t>4.6.4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animScale</w:t>
              </w:r>
            </w:hyperlink>
            <w:r>
              <w:t/>
            </w:r>
            <w:r>
              <w:t xml:space="preserve"> (§</w:t>
            </w:r>
            <w:fldSimple w:instr="REF book4d8108be-800e-48fd-aa4c-f9a329b2a700 \r \h">
              <w:r>
                <w:t>4.6.6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x</w:t>
            </w:r>
            <w:r>
              <w:t xml:space="preserve"> (X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X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y</w:t>
            </w:r>
            <w:r>
              <w:t xml:space="preserve"> (Y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Y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name="CT_TLPoint"&gt;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name="x" type="a:ST_Percentage"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name="y" type="a:ST_Percentage"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o.docx" TargetMode="External"/><Relationship Id="rId9" Type="http://schemas.openxmlformats.org/officeDocument/2006/relationships/hyperlink" Target="animScale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stCondLst.docx" TargetMode="External"/><Relationship Id="rId13" Type="http://schemas.openxmlformats.org/officeDocument/2006/relationships/hyperlink" Target="cond.docx" TargetMode="External"/><Relationship Id="rId14" Type="http://schemas.openxmlformats.org/officeDocument/2006/relationships/hyperlink" Target="tgtEl.docx" TargetMode="External"/><Relationship Id="rId15" Type="http://schemas.openxmlformats.org/officeDocument/2006/relationships/hyperlink" Target="spTgt.docx" TargetMode="External"/><Relationship Id="rId16" Type="http://schemas.openxmlformats.org/officeDocument/2006/relationships/hyperlink" Target="from.docx" TargetMode="External"/><Relationship Id="rId17" Type="http://schemas.openxmlformats.org/officeDocument/2006/relationships/hyperlink" Target="animMo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