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604_1" w:id="100001"/>
      <w:bookmarkStart w:name="book9aa6a345-dacc-4cbc-b867-39b5874626d5_1" w:id="100002"/>
      <w:r>
        <w:t>timing</w:t>
      </w:r>
      <w:r>
        <w:t xml:space="preserve"> (Slide Timing Information for a Slide Layout)</w:t>
      </w:r>
      <w:bookmarkEnd w:id="100001"/>
    </w:p>
    <w:bookmarkEnd w:id="100002"/>
    <w:p w:rsidRDefault="007133A4" w:rsidP="007133A4" w:rsidR="007133A4">
      <w:r>
        <w:t xml:space="preserve">This element specifies the timing information for handling all animations and timed events within the corresponding slide. This information is tracked via time nodes within the </w:t>
      </w:r>
      <w:r>
        <w:t>timing</w:t>
      </w:r>
      <w:r>
        <w:t xml:space="preserve"> element. More information on the specifics of these time nodes and how they are to be defined can be found within the </w:t>
      </w:r>
      <w:hyperlink r:id="rId8">
        <w:r>
          <w:rPr>
            <w:rStyle w:val="Hyperlink"/>
          </w:rPr>
          <w:t>Animation</w:t>
        </w:r>
      </w:hyperlink>
      <w:r>
        <w:t xml:space="preserve"> section of the </w:t>
      </w:r>
      <w:r>
        <w:t>PresentationML</w:t>
      </w:r>
      <w:r>
        <w:t xml:space="preserve"> framework.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sld</w:t>
              </w:r>
            </w:hyperlink>
            <w:r>
              <w:t/>
            </w:r>
            <w:r>
              <w:t xml:space="preserve"> (§</w:t>
            </w:r>
            <w:fldSimple w:instr="REF booka272ced5-093d-4fa9-b627-561087623961 \r \h">
              <w:r>
                <w:t>4.4.1.35</w:t>
              </w:r>
            </w:fldSimple>
            <w:r>
              <w:t xml:space="preserve">); </w:t>
            </w:r>
            <w:r>
              <w:t/>
            </w:r>
            <w:hyperlink r:id="rId10">
              <w:r>
                <w:rPr>
                  <w:rStyle w:val="Hyperlink"/>
                </w:rPr>
                <w:t>sldLayout</w:t>
              </w:r>
            </w:hyperlink>
            <w:r>
              <w:t/>
            </w:r>
            <w:r>
              <w:t xml:space="preserve"> (§</w:t>
            </w:r>
            <w:fldSimple w:instr="REF book5a5a27c2-f9e6-4724-93c3-a614e791386e \r \h">
              <w:r>
                <w:t>4.4.1.36</w:t>
              </w:r>
            </w:fldSimple>
            <w:r>
              <w:t xml:space="preserve">); </w:t>
            </w:r>
            <w:r>
              <w:t/>
            </w:r>
            <w:hyperlink r:id="rId11">
              <w:r>
                <w:rPr>
                  <w:rStyle w:val="Hyperlink"/>
                </w:rPr>
                <w:t>sldMaster</w:t>
              </w:r>
            </w:hyperlink>
            <w:r>
              <w:t/>
            </w:r>
            <w:r>
              <w:t xml:space="preserve"> (§</w:t>
            </w:r>
            <w:fldSimple w:instr="REF book3b6db159-45ba-4d47-be90-ef0f4f6fbaa7 \r \h">
              <w:r>
                <w:t>4.4.1.39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2">
              <w:r>
                <w:rPr>
                  <w:rStyle w:val="Hyperlink"/>
                </w:rPr>
                <w:t>bldLst</w:t>
              </w:r>
            </w:hyperlink>
            <w:r>
              <w:t/>
            </w:r>
            <w:r>
              <w:t xml:space="preserve"> (Build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8a0a2a3a-9f25-495f-96b7-4ed4259a9b75 \r \h">
              <w:r>
                <w:t>4.6.14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3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 with Modification Flag)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b1b0ef1c-7098-402d-ad09-035b74a1b46c \r \h">
              <w:r>
                <w:t>4.2.4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4">
              <w:r>
                <w:rPr>
                  <w:rStyle w:val="Hyperlink"/>
                </w:rPr>
                <w:t>tnLst</w:t>
              </w:r>
            </w:hyperlink>
            <w:r>
              <w:t/>
            </w:r>
            <w:r>
              <w:t xml:space="preserve"> (Time Node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2bdc2150-38cf-4aee-b975-40b2d068775e \r \h">
              <w:r>
                <w:t>4.6.87</w:t>
              </w:r>
            </w:fldSimple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name="CT_SlideTiming"&gt;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4">
        <w:r>
          <w:rPr>
            <w:rStyle w:val="Hyperlink"/>
          </w:rPr>
          <w:t>tnLst</w:t>
        </w:r>
      </w:hyperlink>
      <w:r>
        <w:t>" type="CT_TimeNodeList"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2">
        <w:r>
          <w:rPr>
            <w:rStyle w:val="Hyperlink"/>
          </w:rPr>
          <w:t>bldLst</w:t>
        </w:r>
      </w:hyperlink>
      <w:r>
        <w:t>" type="CT_BuildList" minOccurs="0"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3">
        <w:r>
          <w:rPr>
            <w:rStyle w:val="Hyperlink"/>
          </w:rPr>
          <w:t>extLst</w:t>
        </w:r>
      </w:hyperlink>
      <w:r>
        <w:t>" type="CT_ExtensionListModify"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nimation.docx" TargetMode="External"/><Relationship Id="rId9" Type="http://schemas.openxmlformats.org/officeDocument/2006/relationships/hyperlink" Target="sld.docx" TargetMode="External"/><Relationship Id="rId10" Type="http://schemas.openxmlformats.org/officeDocument/2006/relationships/hyperlink" Target="sldLayout.docx" TargetMode="External"/><Relationship Id="rId11" Type="http://schemas.openxmlformats.org/officeDocument/2006/relationships/hyperlink" Target="sldMaster.docx" TargetMode="External"/><Relationship Id="rId12" Type="http://schemas.openxmlformats.org/officeDocument/2006/relationships/hyperlink" Target="bldLst.docx" TargetMode="External"/><Relationship Id="rId13" Type="http://schemas.openxmlformats.org/officeDocument/2006/relationships/hyperlink" Target="extLst.docx" TargetMode="External"/><Relationship Id="rId14" Type="http://schemas.openxmlformats.org/officeDocument/2006/relationships/hyperlink" Target="tn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