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495_1" w:id="100001"/>
      <w:bookmarkStart w:name="bookcd784dab-afca-4db4-a5da-6bf913057164_1" w:id="100002"/>
      <w:r>
        <w:t>ext</w:t>
      </w:r>
      <w:r>
        <w:t xml:space="preserve"> (Extension)</w:t>
      </w:r>
      <w:bookmarkEnd w:id="100001"/>
    </w:p>
    <w:bookmarkEnd w:id="100002"/>
    <w:p w:rsidRDefault="007133A4" w:rsidP="007133A4" w:rsidR="007133A4">
      <w:r>
        <w:t xml:space="preserve">This element specifies an extension that is used for future extensions to the current version of </w:t>
      </w:r>
      <w:r>
        <w:t>DrawingML</w:t>
      </w:r>
      <w:r>
        <w:t>. This allows for the specifying of currently unknown elements in the future that will be used for later versions of generating applications.</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extLst</w:t>
              </w:r>
            </w:hyperlink>
            <w:r>
              <w:t/>
            </w:r>
            <w:r>
              <w:t xml:space="preserve"> (§</w:t>
            </w:r>
            <w:fldSimple w:instr="REF bookb1b0ef1c-7098-402d-ad09-035b74a1b46c \r \h">
              <w:r>
                <w:t>4.2.4</w:t>
              </w:r>
            </w:fldSimple>
            <w:r>
              <w:t xml:space="preserve">); </w:t>
            </w:r>
            <w:r>
              <w:t/>
            </w:r>
            <w:hyperlink r:id="rId8">
              <w:r>
                <w:rPr>
                  <w:rStyle w:val="Hyperlink"/>
                </w:rPr>
                <w:t>extLst</w:t>
              </w:r>
            </w:hyperlink>
            <w:r>
              <w:t/>
            </w:r>
            <w:r>
              <w:t xml:space="preserve"> (§</w:t>
            </w:r>
            <w:fldSimple w:instr="REF book080a06a0-dd06-4328-a514-1d2ba61857d2 \r \h">
              <w:r>
                <w:t>4.2.5</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Any element from any namespace</w:t>
            </w:r>
          </w:p>
        </w:tc>
        <w:tc>
          <w:tcPr>
            <w:tcW w:type="pct" w:w="500"/>
          </w:tcPr>
          <w:p w:rsidRDefault="007133A4" w:rsidP="0037098B" w:rsidR="007133A4">
            <w:r>
              <w:t>n/a</w:t>
            </w:r>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uri</w:t>
            </w:r>
            <w:r>
              <w:t xml:space="preserve"> (Uniform Resource Identifier)</w:t>
            </w:r>
          </w:p>
        </w:tc>
        <w:tc>
          <w:tcPr>
            <w:tcW w:type="pct" w:w="4000"/>
          </w:tcPr>
          <w:p w:rsidRDefault="007133A4" w:rsidP="0037098B" w:rsidR="007133A4">
            <w:r>
              <w:t>This attribute specifies the URI, or uniform resource identifier that represents the data stored under this tag. The URI is used to identify the correct 'server' that can process                the contents of this tag.</w:t>
            </w:r>
          </w:p>
          <w:p w:rsidRDefault="007133A4" w:rsidP="0037098B" w:rsidR="007133A4"/>
          <w:p w:rsidRDefault="007133A4" w:rsidP="0037098B" w:rsidR="007133A4">
            <w:r>
              <w:t xml:space="preserve">The possible values for this attribute are defined by the XML Schema </w:t>
            </w:r>
            <w:r>
              <w:t>token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name="CT_Extension"&gt;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&lt;any processContents="lax"/&gt;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name="uri" type="xsd:token"/&gt;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xtLs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