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662_1" w:id="100001"/>
      <w:bookmarkStart w:name="book0212054e-71b6-43eb-a5bd-460b88b3662b_1" w:id="100002"/>
      <w:r>
        <w:t>endCondLst</w:t>
      </w:r>
      <w:r>
        <w:t xml:space="preserve"> (End Conditions List)</w:t>
      </w:r>
      <w:bookmarkEnd w:id="100001"/>
    </w:p>
    <w:bookmarkEnd w:id="100002"/>
    <w:p w:rsidRDefault="007133A4" w:rsidP="007133A4" w:rsidR="007133A4">
      <w:r>
        <w:t xml:space="preserve">This element describes a list of the end conditions that must be met in order to stop the time node. </w:t>
      </w:r>
    </w:p>
    <w:p w:rsidRDefault="007133A4" w:rsidP="007133A4" w:rsidR="007133A4">
      <w:r>
        <w:t xml:space="preserve">[Example:  Consider a shape a shape with an </w:t>
      </w:r>
      <w:hyperlink r:id="rId8">
        <w:r>
          <w:rPr>
            <w:rStyle w:val="Hyperlink"/>
          </w:rPr>
          <w:t>audio</w:t>
        </w:r>
      </w:hyperlink>
      <w:r>
        <w:t xml:space="preserve"> attached to the animation. The &lt;endCondList&gt; element should be used as follows to specifies when the sound is done:</w:t>
      </w:r>
    </w:p>
    <w:p w:rsidRDefault="007133A4" w:rsidP="007133A4" w:rsidR="007133A4">
      <w:pPr>
        <w:pStyle w:val="c"/>
      </w:pPr>
      <w:r>
        <w:t>&lt;p:</w:t>
      </w:r>
      <w:hyperlink r:id="rId8">
        <w:r>
          <w:rPr>
            <w:rStyle w:val="Hyperlink"/>
          </w:rPr>
          <w:t>audio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&lt;p:</w:t>
      </w:r>
      <w:hyperlink r:id="rId9">
        <w:r>
          <w:rPr>
            <w:rStyle w:val="Hyperlink"/>
          </w:rPr>
          <w:t>cMediaNode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&lt;p:</w:t>
      </w:r>
      <w:hyperlink r:id="rId10">
        <w:r>
          <w:rPr>
            <w:rStyle w:val="Hyperlink"/>
          </w:rPr>
          <w:t>cTn</w:t>
        </w:r>
      </w:hyperlink>
      <w:r>
        <w:t xml:space="preserve"> display="0" masterRel="sameClick"&gt;</w:t>
      </w:r>
    </w:p>
    <w:p w:rsidRDefault="007133A4" w:rsidP="007133A4" w:rsidR="007133A4">
      <w:pPr>
        <w:pStyle w:val="c"/>
      </w:pPr>
      <w:r>
        <w:t xml:space="preserve">      &lt;p:</w:t>
      </w:r>
      <w:hyperlink r:id="rId11">
        <w:r>
          <w:rPr>
            <w:rStyle w:val="Hyperlink"/>
          </w:rPr>
          <w:t>stCondLst</w:t>
        </w:r>
      </w:hyperlink>
      <w:r>
        <w:t>&gt;...</w:t>
      </w:r>
    </w:p>
    <w:p w:rsidRDefault="007133A4" w:rsidP="007133A4" w:rsidR="007133A4">
      <w:pPr>
        <w:pStyle w:val="c"/>
      </w:pPr>
      <w:r>
        <w:t xml:space="preserve">      &lt;p:endCondLst&gt;</w:t>
      </w:r>
    </w:p>
    <w:p w:rsidRDefault="007133A4" w:rsidP="007133A4" w:rsidR="007133A4">
      <w:pPr>
        <w:pStyle w:val="c"/>
      </w:pPr>
      <w:r>
        <w:t xml:space="preserve">        &lt;p:</w:t>
      </w:r>
      <w:hyperlink r:id="rId12">
        <w:r>
          <w:rPr>
            <w:rStyle w:val="Hyperlink"/>
          </w:rPr>
          <w:t>cond</w:t>
        </w:r>
      </w:hyperlink>
      <w:r>
        <w:t xml:space="preserve"> evt="onStopAudio" delay="0"&gt;</w:t>
      </w:r>
    </w:p>
    <w:p w:rsidRDefault="007133A4" w:rsidP="007133A4" w:rsidR="007133A4">
      <w:pPr>
        <w:pStyle w:val="c"/>
      </w:pPr>
      <w:r>
        <w:t xml:space="preserve">          &lt;p:</w:t>
      </w:r>
      <w:hyperlink r:id="rId13">
        <w:r>
          <w:rPr>
            <w:rStyle w:val="Hyperlink"/>
          </w:rPr>
          <w:t>tgtEl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      &lt;p:</w:t>
      </w:r>
      <w:hyperlink r:id="rId14">
        <w:r>
          <w:rPr>
            <w:rStyle w:val="Hyperlink"/>
          </w:rPr>
          <w:t>sldTgt</w:t>
        </w:r>
      </w:hyperlink>
      <w:r>
        <w:t>/&gt;</w:t>
      </w:r>
    </w:p>
    <w:p w:rsidRDefault="007133A4" w:rsidP="007133A4" w:rsidR="007133A4">
      <w:pPr>
        <w:pStyle w:val="c"/>
      </w:pPr>
      <w:r>
        <w:t xml:space="preserve">          &lt;/p:</w:t>
      </w:r>
      <w:hyperlink r:id="rId13">
        <w:r>
          <w:rPr>
            <w:rStyle w:val="Hyperlink"/>
          </w:rPr>
          <w:t>tgtEl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  &lt;/p:</w:t>
      </w:r>
      <w:hyperlink r:id="rId12">
        <w:r>
          <w:rPr>
            <w:rStyle w:val="Hyperlink"/>
          </w:rPr>
          <w:t>cond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&lt;/p:endCondLst&gt;</w:t>
      </w:r>
    </w:p>
    <w:p w:rsidRDefault="007133A4" w:rsidP="007133A4" w:rsidR="007133A4">
      <w:pPr>
        <w:pStyle w:val="c"/>
      </w:pPr>
      <w:r>
        <w:t xml:space="preserve">    &lt;/p:</w:t>
      </w:r>
      <w:hyperlink r:id="rId10">
        <w:r>
          <w:rPr>
            <w:rStyle w:val="Hyperlink"/>
          </w:rPr>
          <w:t>cTn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&lt;p:</w:t>
      </w:r>
      <w:hyperlink r:id="rId13">
        <w:r>
          <w:rPr>
            <w:rStyle w:val="Hyperlink"/>
          </w:rPr>
          <w:t>tgtEl</w:t>
        </w:r>
      </w:hyperlink>
      <w:r>
        <w:t>&gt;...</w:t>
      </w:r>
    </w:p>
    <w:p w:rsidRDefault="007133A4" w:rsidP="007133A4" w:rsidR="007133A4">
      <w:pPr>
        <w:pStyle w:val="c"/>
      </w:pPr>
      <w:r>
        <w:t xml:space="preserve">  &lt;/p:</w:t>
      </w:r>
      <w:hyperlink r:id="rId9">
        <w:r>
          <w:rPr>
            <w:rStyle w:val="Hyperlink"/>
          </w:rPr>
          <w:t>cMediaNode</w:t>
        </w:r>
      </w:hyperlink>
      <w:r>
        <w:t>&gt;</w:t>
      </w:r>
    </w:p>
    <w:p w:rsidRDefault="007133A4" w:rsidP="007133A4" w:rsidR="007133A4">
      <w:pPr>
        <w:pStyle w:val="c"/>
      </w:pPr>
      <w:r>
        <w:t>&lt;/p:</w:t>
      </w:r>
      <w:hyperlink r:id="rId8">
        <w:r>
          <w:rPr>
            <w:rStyle w:val="Hyperlink"/>
          </w:rPr>
          <w:t>audio</w:t>
        </w:r>
      </w:hyperlink>
      <w:r>
        <w:t>&gt;</w:t>
      </w:r>
    </w:p>
    <w:p w:rsidRDefault="007133A4" w:rsidP="007133A4" w:rsidR="007133A4">
      <w:r>
        <w:t xml:space="preserve">End Example] 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Parent Elements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/>
            </w:r>
            <w:hyperlink r:id="rId10">
              <w:r>
                <w:rPr>
                  <w:rStyle w:val="Hyperlink"/>
                </w:rPr>
                <w:t>cTn</w:t>
              </w:r>
            </w:hyperlink>
            <w:r>
              <w:t/>
            </w:r>
            <w:r>
              <w:t xml:space="preserve"> (§</w:t>
            </w:r>
            <w:fldSimple w:instr="REF bookc2c079d5-3b73-4797-bd17-01387114cae2 \r \h">
              <w:r>
                <w:t>4.6.33</w:t>
              </w:r>
            </w:fldSimple>
            <w:r>
              <w:t>)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37098B" w:rsidR="007133A4">
        <w:trPr>
          <w:cnfStyle w:val="100000000000"/>
        </w:trPr>
        <w:tc>
          <w:tcPr>
            <w:tcW w:type="pct" w:w="4500"/>
          </w:tcPr>
          <w:p w:rsidRDefault="007133A4" w:rsidP="0037098B" w:rsidR="007133A4">
            <w:r>
              <w:t>Child Elements</w:t>
            </w:r>
          </w:p>
        </w:tc>
        <w:tc>
          <w:tcPr>
            <w:tcW w:type="pct" w:w="500"/>
          </w:tcPr>
          <w:p w:rsidRDefault="007133A4" w:rsidP="0037098B" w:rsidR="007133A4">
            <w:r>
              <w:t>Subclause</w:t>
            </w:r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2">
              <w:r>
                <w:rPr>
                  <w:rStyle w:val="Hyperlink"/>
                </w:rPr>
                <w:t>cond</w:t>
              </w:r>
            </w:hyperlink>
            <w:r>
              <w:t/>
            </w:r>
            <w:r>
              <w:t xml:space="preserve"> (Condition)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09949fcd-0c36-4eaf-9fbf-9b773f47af6f \r \h">
              <w:r>
                <w:t>4.6.31</w:t>
              </w:r>
            </w:fldSimple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element: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&lt;complexType name="CT_TLTimeConditionList"&gt;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2">
        <w:r>
          <w:rPr>
            <w:rStyle w:val="Hyperlink"/>
          </w:rPr>
          <w:t>cond</w:t>
        </w:r>
      </w:hyperlink>
      <w:r>
        <w:t>" type="CT_TLTimeCondition" minOccurs="1" maxOccurs="unbounded"/&gt;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audio.docx" TargetMode="External"/><Relationship Id="rId9" Type="http://schemas.openxmlformats.org/officeDocument/2006/relationships/hyperlink" Target="cMediaNode.docx" TargetMode="External"/><Relationship Id="rId10" Type="http://schemas.openxmlformats.org/officeDocument/2006/relationships/hyperlink" Target="cTn.docx" TargetMode="External"/><Relationship Id="rId11" Type="http://schemas.openxmlformats.org/officeDocument/2006/relationships/hyperlink" Target="stCondLst.docx" TargetMode="External"/><Relationship Id="rId12" Type="http://schemas.openxmlformats.org/officeDocument/2006/relationships/hyperlink" Target="cond.docx" TargetMode="External"/><Relationship Id="rId13" Type="http://schemas.openxmlformats.org/officeDocument/2006/relationships/hyperlink" Target="tgtEl.docx" TargetMode="External"/><Relationship Id="rId14" Type="http://schemas.openxmlformats.org/officeDocument/2006/relationships/hyperlink" Target="sldTgt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