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20_1" w:id="100001"/>
      <w:bookmarkStart w:name="booke6672de5-3b6f-4b10-9dc8-37c428e6e939_1" w:id="100002"/>
      <w:r>
        <w:t>upDownBars</w:t>
      </w:r>
      <w:r>
        <w:t xml:space="preserve"> (Up/Down Bars)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up</w:t>
        </w:r>
      </w:hyperlink>
      <w:r>
        <w:t xml:space="preserve"> and down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downBars</w:t>
              </w:r>
            </w:hyperlink>
            <w:r>
              <w:t/>
            </w:r>
            <w:r>
              <w:t xml:space="preserve"> (Down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e873a33-8b4e-43df-8366-a3a0fdd11b28 \r \h">
              <w:r>
                <w:t>5.7.2.51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gapWidth</w:t>
              </w:r>
            </w:hyperlink>
            <w:r>
              <w:t/>
            </w:r>
            <w:r>
              <w:t xml:space="preserve"> (Gap Width)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d4c70c-57eb-45d3-869e-30d231464d91 \r \h">
              <w:r>
                <w:t>5.7.2.75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upBars</w:t>
              </w:r>
            </w:hyperlink>
            <w:r>
              <w:t/>
            </w:r>
            <w:r>
              <w:t xml:space="preserve"> (Up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78605b1-7156-4219-bcd4-23541668bc39 \r \h">
              <w:r>
                <w:t>5.7.2.218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="CT_UpDownBars"&gt;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gapWidth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upBars</w:t>
        </w:r>
      </w:hyperlink>
      <w:r>
        <w:t>" type="CT_UpDownBar"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downBars</w:t>
        </w:r>
      </w:hyperlink>
      <w:r>
        <w:t>" type="CT_UpDownBar"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p.docx" TargetMode="External"/><Relationship Id="rId9" Type="http://schemas.openxmlformats.org/officeDocument/2006/relationships/hyperlink" Target="lineChart.docx" TargetMode="External"/><Relationship Id="rId10" Type="http://schemas.openxmlformats.org/officeDocument/2006/relationships/hyperlink" Target="stockChart.docx" TargetMode="External"/><Relationship Id="rId11" Type="http://schemas.openxmlformats.org/officeDocument/2006/relationships/hyperlink" Target="downBar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apWidth.docx" TargetMode="External"/><Relationship Id="rId14" Type="http://schemas.openxmlformats.org/officeDocument/2006/relationships/hyperlink" Target="upBars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