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66_1" w:id="100001"/>
      <w:bookmarkStart w:name="book6d78c41c-8324-4258-9e77-fd941474ead0_1" w:id="100002"/>
      <w:r>
        <w:t>secondPieSize</w:t>
      </w:r>
      <w:r>
        <w:t xml:space="preserve"> (Second Pie Size)</w:t>
      </w:r>
      <w:bookmarkEnd w:id="100001"/>
    </w:p>
    <w:bookmarkEnd w:id="100002"/>
    <w:p w:rsidRDefault="00B82E19" w:rsidP="00B82E19" w:rsidR="00B82E19">
      <w:r>
        <w:t>This element specifies the size of the second pie or bar of a pie of pie chart or a bar of pie chart, as a percentage of the size of the first pie.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(Second Pie Size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5 and 200.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ST_SecondPieSize</w:t>
              </w:r>
            </w:hyperlink>
            <w:r>
              <w:t/>
            </w:r>
            <w:r>
              <w:t xml:space="preserve"> simple type (§</w:t>
            </w:r>
            <w:fldSimple w:instr="REF book026cb746-e9b1-44b1-91be-80c4c69e7583 \r \h">
              <w:r>
                <w:t>5.7.3.41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="CT_SecondPieSize"&gt;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ST_SecondPieSize</w:t>
        </w:r>
      </w:hyperlink>
      <w:r>
        <w:t>" default="75"/&gt;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fPie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SecondPieSiz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