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61_1" w:id="100001"/>
      <w:bookmarkStart w:name="book04231402-0a34-4c32-99a2-5141b7fc53e1_1" w:id="100002"/>
      <w:r>
        <w:t>prSet</w:t>
      </w:r>
      <w:r>
        <w:t xml:space="preserve"> (Property Set)</w:t>
      </w:r>
      <w:bookmarkEnd w:id="100001"/>
    </w:p>
    <w:bookmarkEnd w:id="100002"/>
    <w:p w:rsidRDefault="00B82E19" w:rsidP="00B82E19" w:rsidR="00B82E19">
      <w:r>
        <w:t>This element holds properties and customizations which are used throughout certain elements in DiagramML.  The properties can be grouped into the following general categories:</w:t>
      </w:r>
    </w:p>
    <w:p w:rsidRDefault="00B82E19" w:rsidP="00B82E19" w:rsidR="00B82E19">
      <w:pPr>
        <w:pStyle w:val="ListBullet"/>
        <w:numPr>
          <w:ilvl w:val="0"/>
          <w:numId w:val="92"/>
        </w:numPr>
      </w:pPr>
      <w:r>
        <w:t xml:space="preserve">Presentation Properties - </w:t>
      </w:r>
      <w:hyperlink r:id="rId8">
        <w:r>
          <w:rPr>
            <w:rStyle w:val="Hyperlink"/>
          </w:rPr>
          <w:t>presLayoutVars</w:t>
        </w:r>
      </w:hyperlink>
      <w:r>
        <w:t>, style, presAssocId, presName, presStyleLbl, presStyleIdx, presStyleCnt</w:t>
      </w:r>
    </w:p>
    <w:p w:rsidRDefault="00B82E19" w:rsidP="00B82E19" w:rsidR="00B82E19">
      <w:pPr>
        <w:pStyle w:val="ListBullet"/>
      </w:pPr>
      <w:r>
        <w:t>Document Properties - loTypeId, loCatId, qsTypeId, qaCatId, csTypeId, coherent3DOff</w:t>
      </w:r>
    </w:p>
    <w:p w:rsidRDefault="00B82E19" w:rsidP="00B82E19" w:rsidR="00B82E19">
      <w:pPr>
        <w:pStyle w:val="ListBullet"/>
      </w:pPr>
      <w:r>
        <w:t>Semantic Element Properties - phldrT, phldr</w:t>
      </w:r>
    </w:p>
    <w:p w:rsidRDefault="00B82E19" w:rsidP="00B82E19" w:rsidR="00B82E19">
      <w:pPr>
        <w:pStyle w:val="ListBullet"/>
      </w:pPr>
      <w:r>
        <w:t>Customization Properties - custAng, custFlipVert, custFlipHor, custSzX, custSzY, custScaleX, custScaleY, custT, custLinFactX, custLinFactY, custLinFactNeighborX, custLinFactNeighborY, custRadScaleRad, custRadScaleInc</w:t>
      </w:r>
    </w:p>
    <w:p w:rsidRDefault="00B82E19" w:rsidP="00B82E19" w:rsidR="00B82E19">
      <w:r>
        <w:t>[</w:t>
      </w:r>
      <w:r>
        <w:t>Example</w:t>
      </w:r>
      <w:r>
        <w:t xml:space="preserve">:  Consider the basic example of </w:t>
      </w:r>
      <w:r>
        <w:t>prSet</w:t>
      </w:r>
      <w:r>
        <w:t xml:space="preserve"> in use in DrawingML on a document point type:</w:t>
      </w:r>
    </w:p>
    <w:p w:rsidRDefault="00B82E19" w:rsidP="00B82E19" w:rsidR="00B82E19">
      <w:pPr>
        <w:pStyle w:val="c"/>
      </w:pPr>
      <w:r>
        <w:t>&lt;prSet loTypeId="urn:microsoft.com/office/officeart/2005/8/</w:t>
      </w:r>
      <w:hyperlink r:id="rId9">
        <w:r>
          <w:rPr>
            <w:rStyle w:val="Hyperlink"/>
          </w:rPr>
          <w:t>layout</w:t>
        </w:r>
      </w:hyperlink>
      <w:r>
        <w:t>/default" loCatId="list" qsTypeId="urn:microsoft.com/office/officeart/2005/8/quickstyle/3d1" qsCatId="</w:t>
      </w:r>
      <w:hyperlink r:id="rId10">
        <w:r>
          <w:rPr>
            <w:rStyle w:val="Hyperlink"/>
          </w:rPr>
          <w:t>3D</w:t>
        </w:r>
      </w:hyperlink>
      <w:r>
        <w:t>" csTypeId="urn:microsoft.com/office/officeart/2005/8/colors/colorful2" csCatId="colorful" phldr="1"/&gt;</w:t>
      </w:r>
    </w:p>
    <w:p w:rsidRDefault="00B82E19" w:rsidP="00B82E19" w:rsidR="00B82E19">
      <w:r>
        <w:t xml:space="preserve">In this example we define the </w:t>
      </w:r>
      <w:hyperlink r:id="rId9">
        <w:r>
          <w:rPr>
            <w:rStyle w:val="Hyperlink"/>
          </w:rPr>
          <w:t>layout</w:t>
        </w:r>
      </w:hyperlink>
      <w:r>
        <w:t xml:space="preserve"> identifier, the category of the </w:t>
      </w:r>
      <w:hyperlink r:id="rId9">
        <w:r>
          <w:rPr>
            <w:rStyle w:val="Hyperlink"/>
          </w:rPr>
          <w:t>layout</w:t>
        </w:r>
      </w:hyperlink>
      <w:r>
        <w:t xml:space="preserve">, the quick style identifier, the quick style category, along with the color style and color style category.  </w:t>
      </w:r>
      <w:r>
        <w:t/>
      </w:r>
      <w:hyperlink r:id="rId11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pt</w:t>
              </w:r>
            </w:hyperlink>
            <w:r>
              <w:t/>
            </w:r>
            <w:r>
              <w:t xml:space="preserve"> (§</w:t>
            </w:r>
            <w:fldSimple w:instr="REF booka2b4ce43-c661-44a9-837d-6b0fe5edb6ed \r \h">
              <w:r>
                <w:t>5.9.3.5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presLayoutVars</w:t>
              </w:r>
            </w:hyperlink>
            <w:r>
              <w:t/>
            </w:r>
            <w:r>
              <w:t xml:space="preserve"> (Presentation Layout Variables)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49fdac1-cc16-44d9-8513-1443f38eed8d \r \h">
              <w:r>
                <w:t>5.9.5.4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style</w:t>
              </w:r>
            </w:hyperlink>
            <w:r>
              <w:t/>
            </w:r>
            <w:r>
              <w:t xml:space="preserve"> (Shape Style)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be3ac89-a5b6-4970-b070-27c82f6224f2 \r \h">
              <w:r>
                <w:t>5.9.2.28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coherent3DOff</w:t>
            </w:r>
            <w:r>
              <w:t xml:space="preserve"> (Coherent </w:t>
            </w:r>
            <w:hyperlink r:id="rId10">
              <w:r>
                <w:rPr>
                  <w:rStyle w:val="Hyperlink"/>
                </w:rPr>
                <w:t>3D</w:t>
              </w:r>
            </w:hyperlink>
            <w:r>
              <w:t xml:space="preserve"> Behavior)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Enables or disables the Coherent </w:t>
            </w:r>
            <w:hyperlink r:id="rId10">
              <w:r>
                <w:rPr>
                  <w:rStyle w:val="Hyperlink"/>
                </w:rPr>
                <w:t>3D</w:t>
              </w:r>
            </w:hyperlink>
            <w:r>
              <w:t xml:space="preserve"> behavior for styles that specify this property.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csCatId</w:t>
            </w:r>
            <w:r>
              <w:t xml:space="preserve"> (Color Transform Category)</w:t>
            </w:r>
          </w:p>
        </w:tc>
        <w:tc>
          <w:tcPr>
            <w:tcW w:type="pct" w:w="4000"/>
          </w:tcPr>
          <w:p w:rsidRDefault="00B82E19" w:rsidP="002E5918" w:rsidR="00B82E19">
            <w:r>
              <w:t>This attribute specifies the identifier of the current color transform category.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csTypeId</w:t>
            </w:r>
            <w:r>
              <w:t xml:space="preserve"> (Color Transform Type Identifier)</w:t>
            </w:r>
          </w:p>
        </w:tc>
        <w:tc>
          <w:tcPr>
            <w:tcW w:type="pct" w:w="4000"/>
          </w:tcPr>
          <w:p w:rsidRDefault="00B82E19" w:rsidP="002E5918" w:rsidR="00B82E19">
            <w:r>
              <w:t>This attribute specifies the identifier of the currently applied color transform.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custAng</w:t>
            </w:r>
            <w:r>
              <w:t xml:space="preserve"> (Custom Rotation)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amount that rotation is customized by.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int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custFlipHor</w:t>
            </w:r>
            <w:r>
              <w:t xml:space="preserve"> (Custom Horizontal Flip)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if there is a custom horizontal flip applied.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custFlipVert</w:t>
            </w:r>
            <w:r>
              <w:t xml:space="preserve"> (Custom Vertical Flip)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if there is a custom vertical flip applied.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custLinFactNeighborX</w:t>
            </w:r>
            <w:r>
              <w:t xml:space="preserve"> (Neighbor Offset Width)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percentage of the neighbor's width used for offsetting shape.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int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custLinFactNeighborY</w:t>
            </w:r>
            <w:r>
              <w:t xml:space="preserve"> (Neighbor Offset Height)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percentage of the neighbor's height used for offsetting shape.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int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custLinFactX</w:t>
            </w:r>
            <w:r>
              <w:t xml:space="preserve"> (Custom Factor Width)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percentage of the current shape width used for offsetting the shape.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int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custLinFactY</w:t>
            </w:r>
            <w:r>
              <w:t xml:space="preserve"> (Custom Factor Height)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percentage of the current shape height used for offsetting the shape.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int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custRadScaleInc</w:t>
            </w:r>
            <w:r>
              <w:t xml:space="preserve"> (Include Angle Scale)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amount that the include angle has been scaled by.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int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custRadScaleRad</w:t>
            </w:r>
            <w:r>
              <w:t xml:space="preserve"> (Radius Scale)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how much the radius has been scaled.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int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custScaleX</w:t>
            </w:r>
            <w:r>
              <w:t xml:space="preserve"> (Width Scale)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amount that the width has been scaled by.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int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custScaleY</w:t>
            </w:r>
            <w:r>
              <w:t xml:space="preserve"> (Height Scale)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amount that the height has been scaled by.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int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custSzX</w:t>
            </w:r>
            <w:r>
              <w:t xml:space="preserve"> (Fixed Width Override)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fixed width override for a shape.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int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custSzY</w:t>
            </w:r>
            <w:r>
              <w:t xml:space="preserve"> (Fixed Height Override)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fixed height override for a shape.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int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custT</w:t>
            </w:r>
            <w:r>
              <w:t xml:space="preserve"> (Text Changed)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if the text has been customized which allows </w:t>
            </w:r>
            <w:hyperlink r:id="rId9">
              <w:r>
                <w:rPr>
                  <w:rStyle w:val="Hyperlink"/>
                </w:rPr>
                <w:t>layout</w:t>
              </w:r>
            </w:hyperlink>
            <w:r>
              <w:t xml:space="preserve"> to ignore automatic formatting options available to the text.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loCatId</w:t>
            </w:r>
            <w:r>
              <w:t xml:space="preserve"> (Current Diagram Category)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current identifier of the </w:t>
            </w:r>
            <w:hyperlink r:id="rId9">
              <w:r>
                <w:rPr>
                  <w:rStyle w:val="Hyperlink"/>
                </w:rPr>
                <w:t>layout</w:t>
              </w:r>
            </w:hyperlink>
            <w:r>
              <w:t xml:space="preserve"> category applied to the diagram.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loTypeId</w:t>
            </w:r>
            <w:r>
              <w:t xml:space="preserve"> (Current Diagram Type)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identifier for the </w:t>
            </w:r>
            <w:hyperlink r:id="rId9">
              <w:r>
                <w:rPr>
                  <w:rStyle w:val="Hyperlink"/>
                </w:rPr>
                <w:t>layout</w:t>
              </w:r>
            </w:hyperlink>
            <w:r>
              <w:t xml:space="preserve"> currently applied to the diagram.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phldr</w:t>
            </w:r>
            <w:r>
              <w:t xml:space="preserve"> (Placeholder)</w:t>
            </w:r>
          </w:p>
        </w:tc>
        <w:tc>
          <w:tcPr>
            <w:tcW w:type="pct" w:w="4000"/>
          </w:tcPr>
          <w:p w:rsidRDefault="00B82E19" w:rsidP="002E5918" w:rsidR="00B82E19">
            <w:r>
              <w:t>Indicates that the point is a placeholder or sample item.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phldrT</w:t>
            </w:r>
            <w:r>
              <w:t xml:space="preserve"> (Placeholder Text)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The text used for display in the element if the placeholder flag is set to </w:t>
            </w:r>
            <w:r>
              <w:t>true</w:t>
            </w:r>
            <w:r>
              <w:t>. If this property is not set than default placeholder text will be used.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presAssocID</w:t>
            </w:r>
            <w:r>
              <w:t xml:space="preserve"> (Presentation Element Identifier)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The point associated with this presentation element. This identifier is used together with </w:t>
            </w:r>
            <w:r>
              <w:t>presName</w:t>
            </w:r>
            <w:r>
              <w:t xml:space="preserve"> to create a unique key for presentation element indexing.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ST_ModelId</w:t>
              </w:r>
            </w:hyperlink>
            <w:r>
              <w:t/>
            </w:r>
            <w:r>
              <w:t xml:space="preserve"> simple type (§</w:t>
            </w:r>
            <w:fldSimple w:instr="REF booka95db358-dc6d-46af-b0aa-4e1a95ab5148 \r \h">
              <w:r>
                <w:t>5.9.7.42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presName</w:t>
            </w:r>
            <w:r>
              <w:t xml:space="preserve"> (Presentation Name)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The </w:t>
            </w:r>
            <w:hyperlink r:id="rId9">
              <w:r>
                <w:rPr>
                  <w:rStyle w:val="Hyperlink"/>
                </w:rPr>
                <w:t>layout</w:t>
              </w:r>
            </w:hyperlink>
            <w:r>
              <w:t xml:space="preserve"> node name of this presentation element. This name is used together with </w:t>
            </w:r>
            <w:r>
              <w:t>presAssocID</w:t>
            </w:r>
            <w:r>
              <w:t xml:space="preserve"> to create a unique key for presentation element indexing.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presStyleCnt</w:t>
            </w:r>
            <w:r>
              <w:t xml:space="preserve"> (Presentation Style Count)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</w:t>
            </w:r>
            <w:hyperlink r:id="rId9">
              <w:r>
                <w:rPr>
                  <w:rStyle w:val="Hyperlink"/>
                </w:rPr>
                <w:t>layout</w:t>
              </w:r>
            </w:hyperlink>
            <w:r>
              <w:t xml:space="preserve"> node style count of this presentation element.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int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presStyleIdx</w:t>
            </w:r>
            <w:r>
              <w:t xml:space="preserve"> (Presentation Style Index)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</w:t>
            </w:r>
            <w:hyperlink r:id="rId9">
              <w:r>
                <w:rPr>
                  <w:rStyle w:val="Hyperlink"/>
                </w:rPr>
                <w:t>layout</w:t>
              </w:r>
            </w:hyperlink>
            <w:r>
              <w:t xml:space="preserve"> node style index of this presentation element.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int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presStyleLbl</w:t>
            </w:r>
            <w:r>
              <w:t xml:space="preserve"> (Presentation Style Label)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</w:t>
            </w:r>
            <w:hyperlink r:id="rId9">
              <w:r>
                <w:rPr>
                  <w:rStyle w:val="Hyperlink"/>
                </w:rPr>
                <w:t>layout</w:t>
              </w:r>
            </w:hyperlink>
            <w:r>
              <w:t xml:space="preserve"> node style label of this presentation element.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qsCatId</w:t>
            </w:r>
            <w:r>
              <w:t xml:space="preserve"> (Current Style Category)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identifier of the category of the currently applied quick style.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qsTypeId</w:t>
            </w:r>
            <w:r>
              <w:t xml:space="preserve"> (Current Style Type)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identifier of the currently applied quick style.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="CT_ElemPropSet"&gt;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presLayoutVars</w:t>
        </w:r>
      </w:hyperlink>
      <w:r>
        <w:t>" type="CT_LayoutVariablePropertySet"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name="style" type="a:CT_ShapeStyle"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="presAssocID" type="</w:t>
      </w:r>
      <w:hyperlink r:id="rId14">
        <w:r>
          <w:rPr>
            <w:rStyle w:val="Hyperlink"/>
          </w:rPr>
          <w:t>ST_ModelId</w:t>
        </w:r>
      </w:hyperlink>
      <w:r>
        <w:t>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="presName" type="xsd:string"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="presStyleLbl" type="xsd:string"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="presStyleIdx" type="xsd:int"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="presStyleCnt" type="xsd:int"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="loTypeId" type="xsd:string"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="loCatId" type="xsd:string"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="qsTypeId" type="xsd:string"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="qsCatId" type="xsd:string"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="csTypeId" type="xsd:string"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="csCatId" type="xsd:string"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="coherent3DOff" type="xsd:boolean"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="phldrT" type="xsd:string"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="phldr" type="xsd:boolean"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="custAng" type="xsd:int"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="custFlipVert" type="xsd:boolean"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="custFlipHor" type="xsd:boolean"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="custSzX" type="xsd:int"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="custSzY" type="xsd:int"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="custScaleX" type="xsd:int"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="custScaleY" type="xsd:int"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="custT" type="xsd:boolean"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="custLinFactX" type="xsd:int"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="custLinFactY" type="xsd:int"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="custLinFactNeighborX" type="xsd:int"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="custLinFactNeighborY" type="xsd:int"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="custRadScaleRad" type="xsd:int" use="optional"/&gt;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="custRadScaleInc" type="xsd:int" use="optional"/&gt;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esLayoutVars.docx" TargetMode="External"/><Relationship Id="rId9" Type="http://schemas.openxmlformats.org/officeDocument/2006/relationships/hyperlink" Target="layout.docx" TargetMode="External"/><Relationship Id="rId10" Type="http://schemas.openxmlformats.org/officeDocument/2006/relationships/hyperlink" Target="3D.docx" TargetMode="External"/><Relationship Id="rId11" Type="http://schemas.openxmlformats.org/officeDocument/2006/relationships/hyperlink" Target="end.docx" TargetMode="External"/><Relationship Id="rId12" Type="http://schemas.openxmlformats.org/officeDocument/2006/relationships/hyperlink" Target="pt.docx" TargetMode="External"/><Relationship Id="rId13" Type="http://schemas.openxmlformats.org/officeDocument/2006/relationships/hyperlink" Target="style.docx" TargetMode="External"/><Relationship Id="rId14" Type="http://schemas.openxmlformats.org/officeDocument/2006/relationships/hyperlink" Target="ST_ModelId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