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36_1" w:id="100001"/>
      <w:bookmarkStart w:name="book2c09620a-7b6f-4745-9848-ba9fc6d313bc_1" w:id="100002"/>
      <w:r>
        <w:t>pageSetup</w:t>
      </w:r>
      <w:r>
        <w:t xml:space="preserve"> (Page Setup)</w:t>
      </w:r>
      <w:bookmarkEnd w:id="100001"/>
    </w:p>
    <w:bookmarkEnd w:id="100002"/>
    <w:p w:rsidRDefault="00B82E19" w:rsidP="00B82E19" w:rsidR="00B82E19">
      <w:r>
        <w:t>This element defines the page setup for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printSettings</w:t>
              </w:r>
            </w:hyperlink>
            <w:r>
              <w:t/>
            </w:r>
            <w:r>
              <w:t xml:space="preserve"> (§</w:t>
            </w:r>
            <w:fldSimple w:instr="REF bookd1218df7-0a39-40c0-9868-ed1510f98b20 \r \h">
              <w:r>
                <w:t>5.7.2.149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blackAndWhite</w:t>
            </w:r>
            <w:r>
              <w:t xml:space="preserve"> (Black and White)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page shall print in black and white.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copies</w:t>
            </w:r>
            <w:r>
              <w:t xml:space="preserve"> (Copies)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number of copies that shall be printed.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draft</w:t>
            </w:r>
            <w:r>
              <w:t xml:space="preserve"> (Draft)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page shall be printed in draft mode.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firstPageNumber</w:t>
            </w:r>
            <w:r>
              <w:t xml:space="preserve"> (First Page Number)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page number.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horizontalDpi</w:t>
            </w:r>
            <w:r>
              <w:t xml:space="preserve"> (Horizontal DPI)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horizontal resolution to print in dots per inch.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orientation</w:t>
              </w:r>
            </w:hyperlink>
            <w:r>
              <w:t/>
            </w:r>
            <w:r>
              <w:t xml:space="preserve"> (Orientation)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9">
              <w:r>
                <w:rPr>
                  <w:rStyle w:val="Hyperlink"/>
                </w:rPr>
                <w:t>orientation</w:t>
              </w:r>
            </w:hyperlink>
            <w:r>
              <w:t xml:space="preserve"> of the paper.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ST_PageSetupOrientation</w:t>
              </w:r>
            </w:hyperlink>
            <w:r>
              <w:t/>
            </w:r>
            <w:r>
              <w:t xml:space="preserve"> simple type (§</w:t>
            </w:r>
            <w:fldSimple w:instr="REF book7825ca36-0a50-414b-b95a-4788daf59412 \r \h">
              <w:r>
                <w:t>5.7.3.32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paperSize</w:t>
            </w:r>
            <w:r>
              <w:t xml:space="preserve"> (Page Size)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paper size according to the following table.</w:t>
            </w:r>
          </w:p>
          <w:tbl>
            <w:tblPr>
              <w:tblW w:type="auto" w:w="0"/>
              <w:tblLayout w:type="fixed"/>
              <w:tblLook w:val="04A0" w:noVBand="1" w:noHBand="0" w:lastColumn="0" w:firstColumn="1" w:lastRow="0" w:firstRow="1"/>
            </w:tblPr>
            <w:tblGrid>
              <w:gridCol w:w="2823"/>
              <w:gridCol w:w="1101"/>
              <w:gridCol w:w="1101"/>
              <w:gridCol w:w="722"/>
            </w:tblGrid>
            <w:tr w:rsidTr="002E5918" w:rsidR="00B82E19" w:rsidRPr="00473875">
              <w:trPr>
                <w:trHeight w:val="285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Paper Size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Width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Height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Value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Letter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Legal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14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Standard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10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45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Standard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10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14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16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Standard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11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17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17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Standard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46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Standard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9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44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SuperA/SuperA/A4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227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356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57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A2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420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594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66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A3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297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420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8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A3 extra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322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445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63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A3 extra transverse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322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445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68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A3 transverse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297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420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67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A4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210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297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9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A4 extra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236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322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53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A4 </w:t>
                  </w:r>
                  <w:hyperlink r:id="rId11">
                    <w:r>
                      <w:rPr>
                        <w:rStyle w:val="Hyperlink"/>
                      </w:rPr>
                      <w:t>plus</w:t>
                    </w:r>
                  </w:hyperlink>
                  <w:r>
                    <w:t xml:space="preserve">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210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330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60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A4 transverse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210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297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55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A4 small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210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297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10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A5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148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210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A5 extra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174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235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64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A5 transverse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148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210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61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SuperB/SuperB/A3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305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487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58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B4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250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353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12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B5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176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250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13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ISO B5 extra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201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276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65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JIS B5 transverse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182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257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62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C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17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22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24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D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22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34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25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#10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4.125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9.5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20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#11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4.5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10.375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21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#12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4.75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22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#14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11.5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23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#9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3.875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8.875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19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B4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250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353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33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B5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176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250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34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B6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176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125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35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C3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324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458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29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C4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229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324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30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C5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162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229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28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C6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114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162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31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C65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114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229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32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DL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110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220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27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Invite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220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220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47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Italy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110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230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36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Monarch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3.875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7.5 in.). 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37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6 3/4 envelope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3.625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6.5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38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34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44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26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Executive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7.25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10.5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7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German legal fanfold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13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41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German standard fanfold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12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40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US standard fanfold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14.875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39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Folio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13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14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ISO B4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250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353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42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Japanese double postcard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200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148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43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Ledger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17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4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Legal extra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9.275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51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Letter extra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9.275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12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50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Letter extra transverse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9.275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12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56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Letter </w:t>
                  </w:r>
                  <w:hyperlink r:id="rId11">
                    <w:r>
                      <w:rPr>
                        <w:rStyle w:val="Hyperlink"/>
                      </w:rPr>
                      <w:t>plus</w:t>
                    </w:r>
                  </w:hyperlink>
                  <w:r>
                    <w:t xml:space="preserve">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12.69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59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Letter transverse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8.275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54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Letter small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Note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8.5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11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18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Quarto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215 mm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275 mm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15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Statement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5.5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8.5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6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Tabloid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11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17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3</w:t>
                  </w:r>
                </w:p>
              </w:tc>
            </w:tr>
            <w:tr w:rsidTr="002E5918" w:rsidR="00B82E19" w:rsidRPr="00473875">
              <w:trPr>
                <w:trHeight w:val="300"/>
              </w:trPr>
              <w:tc>
                <w:tcPr>
                  <w:tcW w:type="dxa" w:w="2823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Tabloid extra paper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 xml:space="preserve">11.69 in. </w:t>
                  </w:r>
                </w:p>
              </w:tc>
              <w:tc>
                <w:tcPr>
                  <w:tcW w:type="dxa" w:w="1101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18 in.</w:t>
                  </w:r>
                </w:p>
              </w:tc>
              <w:tc>
                <w:tcPr>
                  <w:tcW w:type="dxa" w:w="722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color="auto" w:val="clear"/>
                  <w:noWrap/>
                  <w:vAlign w:val="bottom"/>
                  <w:hideMark/>
                </w:tcPr>
                <w:p w:rsidRDefault="00B82E19" w:rsidP="002E5918" w:rsidR="00B82E19">
                  <w:r>
                    <w:t>52</w:t>
                  </w:r>
                </w:p>
              </w:tc>
            </w:tr>
          </w:tbl>
          <w:p w:rsidRDefault="00B82E19" w:rsidP="002E5918" w:rsidR="00B82E19"/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useFirstPageNumber</w:t>
            </w:r>
            <w:r>
              <w:t xml:space="preserve"> (Use First Page Number)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to use the first page number instead of automatically generating a page number.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verticalDpi</w:t>
            </w:r>
            <w:r>
              <w:t xml:space="preserve"> (Vertical DPI)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vertical resolution to print in dots per inch.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="CT_PageSetup"&gt;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name="paperSize" type="xsd:unsignedInt" use="optional" default="1"/&gt;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name="firstPageNumber" type="xsd:unsignedInt" use="optional" default="1"/&gt;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orientation</w:t>
        </w:r>
      </w:hyperlink>
      <w:r>
        <w:t>" type="</w:t>
      </w:r>
      <w:hyperlink r:id="rId10">
        <w:r>
          <w:rPr>
            <w:rStyle w:val="Hyperlink"/>
          </w:rPr>
          <w:t>ST_PageSetupOrientation</w:t>
        </w:r>
      </w:hyperlink>
      <w:r>
        <w:t>" use="optional" default="default"/&gt;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name="blackAndWhite"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name="draft"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name="useFirstPageNumber" type="xsd:boolean" use="optional" default="false"/&gt;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name="horizontalDpi" type="xsd:int" use="optional" default="600"/&gt;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name="verticalDpi" type="xsd:int" use="optional" default="600"/&gt;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name="copies" type="xsd:unsignedInt" use="optional" default="1"/&gt;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intSettings.docx" TargetMode="External"/><Relationship Id="rId9" Type="http://schemas.openxmlformats.org/officeDocument/2006/relationships/hyperlink" Target="orientation.docx" TargetMode="External"/><Relationship Id="rId10" Type="http://schemas.openxmlformats.org/officeDocument/2006/relationships/hyperlink" Target="ST_PageSetupOrientation.docx" TargetMode="External"/><Relationship Id="rId11" Type="http://schemas.openxmlformats.org/officeDocument/2006/relationships/hyperlink" Target="plus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