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4_1" w:id="100001"/>
      <w:bookmarkStart w:name="booka43d26db-a987-47e7-b3c2-771d32195322_1" w:id="100002"/>
      <w:r>
        <w:t>lnR</w:t>
      </w:r>
      <w:r>
        <w:t xml:space="preserve"> (Right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right border of a cell.</w:t>
      </w:r>
    </w:p>
    <w:p w:rsidRDefault="00B82E19" w:rsidP="00B82E19" w:rsidR="00B82E19">
      <w:r>
        <w:t>[</w:t>
      </w:r>
      <w:r>
        <w:t>Example</w:t>
      </w:r>
      <w:r>
        <w:t>:  Consider the following example of a lnR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&lt;a:lnR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&lt;/a:lnR &gt;</w:t>
      </w:r>
    </w:p>
    <w:p w:rsidRDefault="00B82E19" w:rsidP="00B82E19" w:rsidR="00B82E19">
      <w:r>
        <w:t xml:space="preserve">In this example, one can see that the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