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85_1" w:id="100001"/>
      <w:bookmarkStart w:name="booke02003f9-45d6-45e9-bf28-8331182954b2_1" w:id="100002"/>
      <w:r>
        <w:t>gs</w:t>
      </w:r>
      <w:r>
        <w:t xml:space="preserve"> (Gradient stops)</w:t>
      </w:r>
      <w:bookmarkEnd w:id="100001"/>
    </w:p>
    <w:bookmarkEnd w:id="100002"/>
    <w:p w:rsidRDefault="00B82E19" w:rsidP="00B82E19" w:rsidR="00B82E19">
      <w:r>
        <w:t>This element defines a gradient stop. A gradient stop consists of a position where the stop appears in the color band.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gsLst</w:t>
              </w:r>
            </w:hyperlink>
            <w:r>
              <w:t/>
            </w:r>
            <w:r>
              <w:t xml:space="preserve"> (§</w:t>
            </w:r>
            <w:fldSimple w:instr="REF book5a772a7e-ef66-4aaa-b332-36aa2950dc4d \r \h">
              <w:r>
                <w:t>5.1.10.37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(Position)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where this gradient stop should appear in the color band. This position is specified in the range [0%, 100%], which corresponds to the beginning and the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of the color band respectively.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ST_PositiveFixedPercentage</w:t>
              </w:r>
            </w:hyperlink>
            <w:r>
              <w:t/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="CT_GradientStop"&gt;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pos</w:t>
        </w:r>
      </w:hyperlink>
      <w:r>
        <w:t>" type="</w:t>
      </w:r>
      <w:hyperlink r:id="rId11">
        <w:r>
          <w:rPr>
            <w:rStyle w:val="Hyperlink"/>
          </w:rPr>
          <w:t>ST_PositiveFixedPercentage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sLst.docx" TargetMode="External"/><Relationship Id="rId9" Type="http://schemas.openxmlformats.org/officeDocument/2006/relationships/hyperlink" Target="pos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ST_PositiveFixedPercentag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