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4_1" w:id="100001"/>
      <w:bookmarkStart w:name="book49373cc4-b8a2-475b-84ae-d494438d7751_1" w:id="100002"/>
      <w:r>
        <w:t>forward</w:t>
      </w:r>
      <w:r>
        <w:t xml:space="preserve"> (Forward)</w:t>
      </w:r>
      <w:bookmarkEnd w:id="100001"/>
    </w:p>
    <w:bookmarkEnd w:id="100002"/>
    <w:p w:rsidRDefault="00B82E19" w:rsidP="00B82E19" w:rsidR="00B82E19">
      <w:r>
        <w:t xml:space="preserve">This element specifies the number of categories (or units on a scatter chart) that the </w:t>
      </w:r>
      <w:hyperlink r:id="rId8">
        <w:r>
          <w:rPr>
            <w:rStyle w:val="Hyperlink"/>
          </w:rPr>
          <w:t>trendline</w:t>
        </w:r>
      </w:hyperlink>
      <w:r>
        <w:t xml:space="preserve"> extends after the data for the series that is being trended. On non-scatter charts, the value must be a multiple of 0.5.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