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73_1" w:id="100001"/>
      <w:bookmarkStart w:name="book07a37a2f-b671-4fdb-ad86-6319b90ffd51_1" w:id="100002"/>
      <w:r>
        <w:t>formatting</w:t>
      </w:r>
      <w:r>
        <w:t xml:space="preserve"> (Formatting)</w:t>
      </w:r>
      <w:bookmarkEnd w:id="100001"/>
    </w:p>
    <w:bookmarkEnd w:id="100002"/>
    <w:p w:rsidRDefault="00B82E19" w:rsidP="00B82E19" w:rsidR="00B82E19">
      <w:r>
        <w:t>This element specifies that a user cannot change formatting on chart elements.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protection</w:t>
              </w:r>
            </w:hyperlink>
            <w:r>
              <w:t/>
            </w:r>
            <w:r>
              <w:t xml:space="preserve"> (§</w:t>
            </w:r>
            <w:fldSimple w:instr="REF book4f6ca3b6-d9b4-410f-b544-8f7024ff6a4d \r \h">
              <w:r>
                <w:t>5.7.2.150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tection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