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80_1" w:id="100001"/>
      <w:bookmarkStart w:name="book9cddadd0-9562-4f10-89ce-d915c92b3012_1" w:id="100002"/>
      <w:r>
        <w:t>fillToRect</w:t>
      </w:r>
      <w:r>
        <w:t xml:space="preserve"> (Fill To Rectangle)</w:t>
      </w:r>
      <w:bookmarkEnd w:id="100001"/>
    </w:p>
    <w:bookmarkEnd w:id="100002"/>
    <w:p w:rsidRDefault="00B82E19" w:rsidP="00B82E19" w:rsidR="00B82E19">
      <w:r>
        <w:t xml:space="preserve">This element defines the "focus" rectangle for the center shade, specified relative to the </w:t>
      </w:r>
      <w:hyperlink r:id="rId8">
        <w:r>
          <w:rPr>
            <w:rStyle w:val="Hyperlink"/>
          </w:rPr>
          <w:t>fill</w:t>
        </w:r>
      </w:hyperlink>
      <w:r>
        <w:t xml:space="preserve"> </w:t>
      </w:r>
      <w:hyperlink r:id="rId9">
        <w:r>
          <w:rPr>
            <w:rStyle w:val="Hyperlink"/>
          </w:rPr>
          <w:t>tile</w:t>
        </w:r>
      </w:hyperlink>
      <w:r>
        <w:t xml:space="preserve"> rectangle.   The center shade fills the entire </w:t>
      </w:r>
      <w:hyperlink r:id="rId9">
        <w:r>
          <w:rPr>
            <w:rStyle w:val="Hyperlink"/>
          </w:rPr>
          <w:t>tile</w:t>
        </w:r>
      </w:hyperlink>
      <w:r>
        <w:t xml:space="preserve"> except the margins specified by each attribute.</w:t>
      </w:r>
    </w:p>
    <w:p w:rsidRDefault="00B82E19" w:rsidP="00B82E19" w:rsidR="00B82E19">
      <w:r>
        <w:t xml:space="preserve">Each edge of the center shade rectangle is defined by a percentage offset from the corresponding edge of the </w:t>
      </w:r>
      <w:hyperlink r:id="rId9">
        <w:r>
          <w:rPr>
            <w:rStyle w:val="Hyperlink"/>
          </w:rPr>
          <w:t>tile</w:t>
        </w:r>
      </w:hyperlink>
      <w:r>
        <w:t xml:space="preserve"> rectangle.  A positive percentage specifies an inset, while a negative percentage specifies an outset.  For example, a left offset of 25% specifies that the left edge of the center shade rectangle is located to the right of the </w:t>
      </w:r>
      <w:hyperlink r:id="rId9">
        <w:r>
          <w:rPr>
            <w:rStyle w:val="Hyperlink"/>
          </w:rPr>
          <w:t>tile</w:t>
        </w:r>
      </w:hyperlink>
      <w:r>
        <w:t xml:space="preserve"> rectangle's left edge by an amount equal to 25% of the </w:t>
      </w:r>
      <w:hyperlink r:id="rId9">
        <w:r>
          <w:rPr>
            <w:rStyle w:val="Hyperlink"/>
          </w:rPr>
          <w:t>tile</w:t>
        </w:r>
      </w:hyperlink>
      <w:r>
        <w:t xml:space="preserve"> rectangle's width. </w:t>
      </w:r>
    </w:p>
    <w:p w:rsidRDefault="00B82E19" w:rsidP="00B82E19" w:rsidR="00B82E19">
      <w:r>
        <w:t>[</w:t>
      </w:r>
      <w:r>
        <w:t>Example</w:t>
      </w:r>
      <w:r>
        <w:t>:</w:t>
      </w:r>
    </w:p>
    <w:p w:rsidRDefault="00B82E19" w:rsidP="00B82E19" w:rsidR="00B82E19">
      <w:r>
        <w:pict>
          <v:rect fillcolor="#ddebcf" strokeweight="2pt" strokecolor="#243f60 [1604]" o:spid="_x0000_s1026" id="Rectangle 4" style="width:9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otate="t" focusposition=".5,.5" focussize="" focus="100%" colors="0 #ddebcf;.5 #9cb86e;1 #156b13" color2="#156b13" type="gradientRadial">
              <o:fill v:ext="view" type="gradientCenter"/>
            </v:fill>
            <w10:anchorlock/>
          </v:rect>
        </w:pict>
      </w:r>
    </w:p>
    <w:p w:rsidRDefault="00B82E19" w:rsidP="00B82E19" w:rsidR="00B82E19">
      <w:pPr>
        <w:pStyle w:val="c"/>
      </w:pPr>
      <w:r>
        <w:t>&lt;a:</w:t>
      </w:r>
      <w:hyperlink r:id="rId10">
        <w:r>
          <w:rPr>
            <w:rStyle w:val="Hyperlink"/>
          </w:rPr>
          <w:t>path</w:t>
        </w:r>
      </w:hyperlink>
      <w:r>
        <w:t xml:space="preserve"> path="</w:t>
      </w:r>
      <w:hyperlink r:id="rId11">
        <w:r>
          <w:rPr>
            <w:rStyle w:val="Hyperlink"/>
          </w:rPr>
          <w:t>rect</w:t>
        </w:r>
      </w:hyperlink>
      <w:r>
        <w:t>"&gt;</w:t>
      </w:r>
    </w:p>
    <w:p w:rsidRDefault="00B82E19" w:rsidP="00B82E19" w:rsidR="00B82E19">
      <w:pPr>
        <w:pStyle w:val="c"/>
      </w:pPr>
      <w:r>
        <w:t xml:space="preserve">  </w:t>
      </w:r>
      <w:r>
        <w:t xml:space="preserve">&lt;a:fillToRect l="50000" r="50000" </w:t>
      </w:r>
      <w:hyperlink r:id="rId12">
        <w:r>
          <w:rPr>
            <w:rStyle w:val="Hyperlink"/>
          </w:rPr>
          <w:t>t</w:t>
        </w:r>
      </w:hyperlink>
      <w:r>
        <w:t>="50000" b="50000"/&gt;</w:t>
      </w:r>
    </w:p>
    <w:p w:rsidRDefault="00B82E19" w:rsidP="00B82E19" w:rsidR="00B82E19">
      <w:pPr>
        <w:pStyle w:val="c"/>
      </w:pPr>
      <w:r>
        <w:t>&lt;/a:path&gt;</w:t>
      </w:r>
    </w:p>
    <w:p w:rsidRDefault="00B82E19" w:rsidP="00B82E19" w:rsidR="00B82E19">
      <w:r>
        <w:t xml:space="preserve">In the above shape, the rectangle defined by </w:t>
      </w:r>
      <w:r>
        <w:t>fillToRect</w:t>
      </w:r>
      <w:r>
        <w:t xml:space="preserve"> is a single point in the center of the shape.  This creates the </w:t>
      </w:r>
      <w:hyperlink r:id="rId13">
        <w:r>
          <w:rPr>
            <w:rStyle w:val="Hyperlink"/>
          </w:rPr>
          <w:t>effect</w:t>
        </w:r>
      </w:hyperlink>
      <w:r>
        <w:t xml:space="preserve"> of the center shade focusing at a point in the center of the region.</w:t>
      </w:r>
    </w:p>
    <w:p w:rsidRDefault="00B82E19" w:rsidP="00B82E19" w:rsidR="00B82E19"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>[</w:t>
      </w:r>
      <w:r>
        <w:t>Example</w:t>
      </w:r>
      <w:r>
        <w:t>:</w:t>
      </w:r>
    </w:p>
    <w:p w:rsidRDefault="00B82E19" w:rsidP="00B82E19" w:rsidR="00B82E19">
      <w:r>
        <w:pict>
          <v:rect fillcolor="#ddebcf" strokeweight="2pt" strokecolor="#243f60 [1604]" o:spid="_x0000_s1026" id="Rectangle 4" style="width:9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otate="t" focusposition=".25,.25" focussize=".5,.75" focus="100%" colors="0 #ddebcf;.5 #9cb86e;1 #156b13" color2="#156b13" type="gradientRadial">
              <o:fill v:ext="view" type="gradientCenter"/>
            </v:fill>
            <w10:anchorlock/>
          </v:rect>
        </w:pict>
      </w:r>
    </w:p>
    <w:p w:rsidRDefault="00B82E19" w:rsidP="00B82E19" w:rsidR="00B82E19">
      <w:pPr>
        <w:pStyle w:val="c"/>
        <w:rPr>
          <w:rFonts w:eastAsiaTheme="minorHAnsi"/>
        </w:rPr>
      </w:pPr>
      <w:r>
        <w:t>&lt;a:</w:t>
      </w:r>
      <w:hyperlink r:id="rId10">
        <w:r>
          <w:rPr>
            <w:rStyle w:val="Hyperlink"/>
          </w:rPr>
          <w:t>path</w:t>
        </w:r>
      </w:hyperlink>
      <w:r>
        <w:t xml:space="preserve"> path="</w:t>
      </w:r>
      <w:hyperlink r:id="rId11">
        <w:r>
          <w:rPr>
            <w:rStyle w:val="Hyperlink"/>
          </w:rPr>
          <w:t>rect</w:t>
        </w:r>
      </w:hyperlink>
      <w:r>
        <w:t>"&gt;</w:t>
      </w:r>
    </w:p>
    <w:p w:rsidRDefault="00B82E19" w:rsidP="00B82E19" w:rsidR="00B82E19">
      <w:pPr>
        <w:pStyle w:val="c"/>
        <w:rPr>
          <w:rFonts w:eastAsiaTheme="minorHAnsi"/>
        </w:rPr>
      </w:pPr>
      <w:r>
        <w:t xml:space="preserve">  &lt;a:fillToRect l="25000" </w:t>
      </w:r>
      <w:hyperlink r:id="rId12">
        <w:r>
          <w:rPr>
            <w:rStyle w:val="Hyperlink"/>
          </w:rPr>
          <w:t>t</w:t>
        </w:r>
      </w:hyperlink>
      <w:r>
        <w:t>="25000" r="25000" b="0"/&gt;</w:t>
      </w:r>
    </w:p>
    <w:p w:rsidRDefault="00B82E19" w:rsidP="00B82E19" w:rsidR="00B82E19">
      <w:pPr>
        <w:pStyle w:val="c"/>
      </w:pPr>
      <w:r>
        <w:t>&lt;/a:path&gt;</w:t>
      </w:r>
    </w:p>
    <w:p w:rsidRDefault="00B82E19" w:rsidP="00B82E19" w:rsidR="00B82E19">
      <w:r>
        <w:t>The center shade occupies the rectangle defined by excluding the topmost, leftmost, and rightmost 25% of the region.  Therefore, the gradient fills the remaining leftmost 25%, topmost 25%, and rightmost 25% of the region.</w:t>
      </w:r>
    </w:p>
    <w:p w:rsidRDefault="00B82E19" w:rsidP="00B82E19" w:rsidR="00B82E19">
      <w:r>
        <w:t/>
      </w:r>
      <w:hyperlink r:id="rId14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path</w:t>
              </w:r>
            </w:hyperlink>
            <w:r>
              <w:t/>
            </w:r>
            <w:r>
              <w:t xml:space="preserve"> (§</w:t>
            </w:r>
            <w:fldSimple w:instr="REF bookb0c855dc-97f6-44be-a987-3f4862c3fbc9 \r \h">
              <w:r>
                <w:t>5.1.10.46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(Bottom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bottom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(Left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left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(Right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right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top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="CT_RelativeRect"&gt;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name="l" type="</w:t>
      </w:r>
      <w:hyperlink r:id="rId15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t</w:t>
        </w:r>
      </w:hyperlink>
      <w:r>
        <w:t>" type="</w:t>
      </w:r>
      <w:hyperlink r:id="rId15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name="r" type="</w:t>
      </w:r>
      <w:hyperlink r:id="rId15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</w:t>
      </w:r>
      <w:hyperlink r:id="rId15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tile.docx" TargetMode="External"/><Relationship Id="rId10" Type="http://schemas.openxmlformats.org/officeDocument/2006/relationships/hyperlink" Target="path.docx" TargetMode="External"/><Relationship Id="rId11" Type="http://schemas.openxmlformats.org/officeDocument/2006/relationships/hyperlink" Target="rect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effect.docx" TargetMode="External"/><Relationship Id="rId14" Type="http://schemas.openxmlformats.org/officeDocument/2006/relationships/hyperlink" Target="end.docx" TargetMode="External"/><Relationship Id="rId15" Type="http://schemas.openxmlformats.org/officeDocument/2006/relationships/hyperlink" Target="ST_Percentag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