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8_1" w:id="100001"/>
      <w:bookmarkStart w:name="book22736b66-0675-49f2-a124-62ee23644e5f_1" w:id="100002"/>
      <w:r>
        <w:t>errDir</w:t>
      </w:r>
      <w:r>
        <w:t xml:space="preserve"> (Error Bar Direction)</w:t>
      </w:r>
      <w:bookmarkEnd w:id="100001"/>
    </w:p>
    <w:bookmarkEnd w:id="100002"/>
    <w:p w:rsidRDefault="00B82E19" w:rsidP="00B82E19" w:rsidR="00B82E19">
      <w:r>
        <w:t>This element specifies the direction of the error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(Error Bar Direction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direction of the error bars.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ST_ErrDir</w:t>
              </w:r>
            </w:hyperlink>
            <w:r>
              <w:t/>
            </w:r>
            <w:r>
              <w:t xml:space="preserve"> simple type (§</w:t>
            </w:r>
            <w:fldSimple w:instr="REF bookda129b0d-4e2f-4352-aee1-c9d95194a33a \r \h">
              <w:r>
                <w:t>5.7.3.13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="CT_ErrDir"&gt;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ST_ErrDir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rrBar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ErrDi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