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68_1" w:id="100001"/>
      <w:bookmarkStart w:name="book9c95b387-8f3d-45a2-a52e-38b121168d31_1" w:id="100002"/>
      <w:r>
        <w:t/>
      </w:r>
      <w:hyperlink r:id="rId8">
        <w:r>
          <w:rPr>
            <w:rStyle w:val="Hyperlink"/>
          </w:rPr>
          <w:t>cNvPicPr</w:t>
        </w:r>
      </w:hyperlink>
      <w:r>
        <w:t/>
      </w:r>
      <w:r>
        <w:t xml:space="preserve"> (Non-Visual Picture Drawing Properties)</w:t>
      </w:r>
      <w:bookmarkEnd w:id="100001"/>
    </w:p>
    <w:bookmarkEnd w:id="100002"/>
    <w:p w:rsidRDefault="00B82E19" w:rsidP="00B82E19" w:rsidR="00B82E19">
      <w:r>
        <w:t>This element describes the non-visual properties of a picture within a spreadsheet. These are the set of properties of a picture which do not affect its display within a spreadsheet.</w:t>
      </w:r>
    </w:p>
    <w:p w:rsidRDefault="00B82E19" w:rsidP="00B82E19" w:rsidR="00B82E19">
      <w:r>
        <w:t xml:space="preserve">[Example: Consider the following </w:t>
      </w:r>
      <w:r>
        <w:t>SpreadsheetDrawingML</w:t>
      </w:r>
      <w:r>
        <w:t>.</w:t>
      </w:r>
    </w:p>
    <w:p w:rsidRDefault="00B82E19" w:rsidP="00B82E19" w:rsidR="00B82E19">
      <w:pPr>
        <w:pStyle w:val="c"/>
      </w:pPr>
      <w:r>
        <w:t>&lt;xdr:pic&gt;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&lt;xdr:nvPicPr&gt;</w:t>
      </w:r>
    </w:p>
    <w:p w:rsidRDefault="00B82E19" w:rsidP="00B82E19" w:rsidR="00B82E19">
      <w:pPr>
        <w:pStyle w:val="c"/>
      </w:pPr>
      <w:r>
        <w:t xml:space="preserve">    &lt;xdr:cNvPr id="4" </w:t>
      </w:r>
      <w:hyperlink r:id="rId9">
        <w:r>
          <w:rPr>
            <w:rStyle w:val="Hyperlink"/>
          </w:rPr>
          <w:t>name</w:t>
        </w:r>
      </w:hyperlink>
      <w:r>
        <w:t>="Lilly_by_Lisher.jpg"/&gt;</w:t>
      </w:r>
    </w:p>
    <w:p w:rsidRDefault="00B82E19" w:rsidP="00B82E19" w:rsidR="00B82E19">
      <w:pPr>
        <w:pStyle w:val="c"/>
      </w:pPr>
      <w:r>
        <w:t xml:space="preserve">    &lt;xdr:cNvPicPr&gt;</w:t>
      </w:r>
    </w:p>
    <w:p w:rsidRDefault="00B82E19" w:rsidP="00B82E19" w:rsidR="00B82E19">
      <w:pPr>
        <w:pStyle w:val="c"/>
      </w:pPr>
      <w:r>
        <w:t xml:space="preserve">      &lt;a:picLocks noChangeAspect="1"/&gt;</w:t>
      </w:r>
    </w:p>
    <w:p w:rsidRDefault="00B82E19" w:rsidP="00B82E19" w:rsidR="00B82E19">
      <w:pPr>
        <w:pStyle w:val="c"/>
      </w:pPr>
      <w:r>
        <w:t xml:space="preserve">    &lt;/xdr:cNvPicPr&gt;</w:t>
      </w:r>
    </w:p>
    <w:p w:rsidRDefault="00B82E19" w:rsidP="00B82E19" w:rsidR="00B82E19">
      <w:pPr>
        <w:pStyle w:val="c"/>
      </w:pPr>
      <w:r>
        <w:t xml:space="preserve">    &lt;xdr:nvPr/&gt;</w:t>
      </w:r>
    </w:p>
    <w:p w:rsidRDefault="00B82E19" w:rsidP="00B82E19" w:rsidR="00B82E19">
      <w:pPr>
        <w:pStyle w:val="c"/>
      </w:pPr>
      <w:r>
        <w:t xml:space="preserve">  &lt;/xdr:nvPicPr&gt;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>&lt;/xdr:pic&gt;</w:t>
      </w:r>
    </w:p>
    <w:p w:rsidRDefault="00B82E19" w:rsidP="00B82E19" w:rsidR="00B82E19">
      <w:r>
        <w:t>The above example defines some non-visual picture drawing properties for the inserted picture. 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nvPicPr</w:t>
              </w:r>
            </w:hyperlink>
            <w:r>
              <w:t/>
            </w:r>
            <w:r>
              <w:t xml:space="preserve"> (§</w:t>
            </w:r>
            <w:fldSimple w:instr="REF bookf1188383-771c-41dd-80ab-3010e81de8b8 \r \h">
              <w:r>
                <w:t>5.6.2.21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picLocks</w:t>
            </w:r>
            <w:r>
              <w:t xml:space="preserve"> (Picture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3df0537-c358-4326-b299-e4277239d1f9 \r \h">
              <w:r>
                <w:t>5.1.2.1.31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preferRelativeResize</w:t>
            </w:r>
            <w:r>
              <w:t xml:space="preserve"> (Relative Resize Preferred)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if the user interface should show the resizing of the picture based on the picture's current size or its original size. If this attribute is set to true, then </w:t>
            </w:r>
            <w:hyperlink r:id="rId12">
              <w:r>
                <w:rPr>
                  <w:rStyle w:val="Hyperlink"/>
                </w:rPr>
                <w:t>scaling</w:t>
              </w:r>
            </w:hyperlink>
            <w:r>
              <w:t xml:space="preserve"> will be relative to the original picture size as opposed to the current picture size.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case where a picture has been resized within a document and is now 50% of the originally inserted picture size. Now if the user chooses to make a later adjustment to the size of this picture within the generating application, then the value of this attribute should be checked.</w:t>
            </w:r>
          </w:p>
          <w:p w:rsidRDefault="00B82E19" w:rsidP="002E5918" w:rsidR="00B82E19"/>
          <w:p w:rsidRDefault="00B82E19" w:rsidP="002E5918" w:rsidR="00B82E19">
            <w:r>
              <w:t xml:space="preserve">If this attribute is set to true then a value of 50% will be shown. Similarly, if this attribute is set to false, then a value of 100% should be shown because the picture has not yet been resized from its current (smaller) size. </w:t>
            </w:r>
            <w:r>
              <w:t/>
            </w:r>
            <w:hyperlink r:id="rId13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="CT_NonVisualPictureProperties"&gt;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name="picLocks" type="CT_PictureLocking"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name="preferRelativeResize"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PicPr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nvPicPr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caling.docx" TargetMode="External"/><Relationship Id="rId13" Type="http://schemas.openxmlformats.org/officeDocument/2006/relationships/hyperlink" Target="e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