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22_1" w:id="100001"/>
      <w:bookmarkStart w:name="book5414ec94-59d5-4c1f-9703-198bbca42ff8_1" w:id="100002"/>
      <w:r>
        <w:t>bubbleScale</w:t>
      </w:r>
      <w:r>
        <w:t xml:space="preserve"> (Bubble Scale)</w:t>
      </w:r>
      <w:bookmarkEnd w:id="100001"/>
    </w:p>
    <w:bookmarkEnd w:id="100002"/>
    <w:p w:rsidRDefault="00B82E19" w:rsidP="00B82E19" w:rsidR="00B82E19">
      <w:r>
        <w:t>This element specifies the scale factor for the bubble chart. This element can be an integer value from 0 to 300, corresponding to a percentage of the default size.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bubbleChart</w:t>
              </w:r>
            </w:hyperlink>
            <w:r>
              <w:t/>
            </w:r>
            <w:r>
              <w:t xml:space="preserve"> (§</w:t>
            </w:r>
            <w:fldSimple w:instr="REF book84bea366-1408-4ddf-b69d-1f2041adeb87 \r \h">
              <w:r>
                <w:t>5.7.2.20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(Bubble Scale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how to scale bubbles on a bubble chart.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ST_BubbleScale</w:t>
              </w:r>
            </w:hyperlink>
            <w:r>
              <w:t/>
            </w:r>
            <w:r>
              <w:t xml:space="preserve"> simple type (§</w:t>
            </w:r>
            <w:fldSimple w:instr="REF bookcb2a2ab5-f326-4ec8-9ca9-5ca8a96541ea \r \h">
              <w:r>
                <w:t>5.7.3.5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="CT_BubbleScale"&gt;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ST_BubbleScale</w:t>
        </w:r>
      </w:hyperlink>
      <w:r>
        <w:t>" default="100"/&gt;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ubbleChar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BubbleScal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