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26_1" w:id="100001"/>
      <w:bookmarkStart w:name="book0bd809fc-ed08-465c-8776-14246c75c41c_1" w:id="100002"/>
      <w:r>
        <w:t>adj</w:t>
      </w:r>
      <w:r>
        <w:t xml:space="preserve"> (Shape Adjust)</w:t>
      </w:r>
      <w:bookmarkEnd w:id="100001"/>
    </w:p>
    <w:bookmarkEnd w:id="100002"/>
    <w:p w:rsidRDefault="00B82E19" w:rsidP="00B82E19" w:rsidR="00B82E19">
      <w:r>
        <w:t>Shape adjust value.  These can be used to modify the adjust handles supported on various auto shapes.  It is only possible to set the initial value, not to modify it using constraints and rules.</w:t>
      </w:r>
    </w:p>
    <w:p w:rsidRDefault="00B82E19" w:rsidP="00B82E19" w:rsidR="00B82E19">
      <w:r>
        <w:t>[</w:t>
      </w:r>
      <w:r>
        <w:t>Example</w:t>
      </w:r>
      <w:r>
        <w:t xml:space="preserve">:  Consider the following example of the </w:t>
      </w:r>
      <w:r>
        <w:t>adj</w:t>
      </w:r>
      <w:r>
        <w:t xml:space="preserve"> element in a DrawingML diagram:</w:t>
      </w:r>
    </w:p>
    <w:p w:rsidRDefault="00B82E19" w:rsidP="00B82E19" w:rsidR="00B82E19">
      <w:pPr>
        <w:pStyle w:val="c"/>
      </w:pPr>
      <w:r>
        <w:t>&lt;</w:t>
      </w:r>
      <w:hyperlink r:id="rId8">
        <w:r>
          <w:rPr>
            <w:rStyle w:val="Hyperlink"/>
          </w:rPr>
          <w:t>adjLst</w:t>
        </w:r>
      </w:hyperlink>
      <w:r>
        <w:t xml:space="preserve">&gt;                     </w:t>
      </w:r>
    </w:p>
    <w:p w:rsidRDefault="00B82E19" w:rsidP="00B82E19" w:rsidR="00B82E19">
      <w:pPr>
        <w:pStyle w:val="c"/>
      </w:pPr>
      <w:r>
        <w:tab/>
      </w:r>
      <w:r>
        <w:t xml:space="preserve">&lt;adj </w:t>
      </w:r>
      <w:hyperlink r:id="rId9">
        <w:r>
          <w:rPr>
            <w:rStyle w:val="Hyperlink"/>
          </w:rPr>
          <w:t>idx</w:t>
        </w:r>
      </w:hyperlink>
      <w:r>
        <w:t xml:space="preserve">="2" </w:t>
      </w:r>
      <w:hyperlink r:id="rId10">
        <w:r>
          <w:rPr>
            <w:rStyle w:val="Hyperlink"/>
          </w:rPr>
          <w:t>val</w:t>
        </w:r>
      </w:hyperlink>
      <w:r>
        <w:t>=".35" /&gt;</w:t>
      </w:r>
    </w:p>
    <w:p w:rsidRDefault="00B82E19" w:rsidP="00B82E19" w:rsidR="00B82E19">
      <w:pPr>
        <w:pStyle w:val="c"/>
      </w:pPr>
      <w:r>
        <w:t>&lt;/</w:t>
      </w:r>
      <w:hyperlink r:id="rId8">
        <w:r>
          <w:rPr>
            <w:rStyle w:val="Hyperlink"/>
          </w:rPr>
          <w:t>adjLst</w:t>
        </w:r>
      </w:hyperlink>
      <w:r>
        <w:t xml:space="preserve">&gt;                    </w:t>
      </w:r>
    </w:p>
    <w:p w:rsidRDefault="00B82E19" w:rsidP="00B82E19" w:rsidR="00B82E19">
      <w:r>
        <w:t xml:space="preserve">In this example we have a single adjust handle being modified by setting its value to </w:t>
      </w:r>
      <w:r>
        <w:t>0.35</w:t>
      </w:r>
      <w:r>
        <w:t xml:space="preserve">.  </w:t>
      </w:r>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8">
              <w:r>
                <w:rPr>
                  <w:rStyle w:val="Hyperlink"/>
                </w:rPr>
                <w:t>adjLst</w:t>
              </w:r>
            </w:hyperlink>
            <w:r>
              <w:t/>
            </w:r>
            <w:r>
              <w:t xml:space="preserve"> (§</w:t>
            </w:r>
            <w:fldSimple w:instr="REF book2686e6ac-4820-4fda-b615-14e4ff6a1719 \r \h">
              <w:r>
                <w:t>5.9.2.2</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idx</w:t>
              </w:r>
            </w:hyperlink>
            <w:r>
              <w:t/>
            </w:r>
            <w:r>
              <w:t xml:space="preserve"> (Adjust Handle Index)</w:t>
            </w:r>
          </w:p>
        </w:tc>
        <w:tc>
          <w:tcPr>
            <w:tcW w:type="pct" w:w="4000"/>
          </w:tcPr>
          <w:p w:rsidRDefault="00B82E19" w:rsidP="002E5918" w:rsidR="00B82E19">
            <w:r>
              <w:t>Adjust value index.  Different shapes support different adjust handles.</w:t>
            </w:r>
          </w:p>
          <w:p w:rsidRDefault="00B82E19" w:rsidP="002E5918" w:rsidR="00B82E19"/>
          <w:p w:rsidRDefault="00B82E19" w:rsidP="002E5918" w:rsidR="00B82E19">
            <w:r>
              <w:t xml:space="preserve">The possible values for this attribute are defined by the </w:t>
            </w:r>
            <w:r>
              <w:t/>
            </w:r>
            <w:hyperlink r:id="rId12">
              <w:r>
                <w:rPr>
                  <w:rStyle w:val="Hyperlink"/>
                </w:rPr>
                <w:t>ST_Index1</w:t>
              </w:r>
            </w:hyperlink>
            <w:r>
              <w:t/>
            </w:r>
            <w:r>
              <w:t xml:space="preserve"> simple type (§</w:t>
            </w:r>
            <w:fldSimple w:instr="REF bookfa42945c-53ee-46a9-bd4d-e7f62dc220a7 \r \h">
              <w:r>
                <w:t>5.9.7.38</w:t>
              </w:r>
            </w:fldSimple>
            <w:r>
              <w:t>).</w:t>
            </w:r>
          </w:p>
        </w:tc>
      </w:tr>
      <w:tr w:rsidTr="002E5918" w:rsidR="00B82E19">
        <w:tc>
          <w:tcPr>
            <w:tcW w:type="pct" w:w="1000"/>
          </w:tcPr>
          <w:p w:rsidRDefault="00B82E19" w:rsidP="002E5918" w:rsidR="00B82E19">
            <w:r>
              <w:t/>
            </w:r>
            <w:hyperlink r:id="rId10">
              <w:r>
                <w:rPr>
                  <w:rStyle w:val="Hyperlink"/>
                </w:rPr>
                <w:t>val</w:t>
              </w:r>
            </w:hyperlink>
            <w:r>
              <w:t/>
            </w:r>
            <w:r>
              <w:t xml:space="preserve"> (Value)</w:t>
            </w:r>
          </w:p>
        </w:tc>
        <w:tc>
          <w:tcPr>
            <w:tcW w:type="pct" w:w="4000"/>
          </w:tcPr>
          <w:p w:rsidRDefault="00B82E19" w:rsidP="002E5918" w:rsidR="00B82E19">
            <w:r>
              <w:t>An absolute value.</w:t>
            </w:r>
          </w:p>
          <w:p w:rsidRDefault="00B82E19" w:rsidP="002E5918" w:rsidR="00B82E19"/>
          <w:p w:rsidRDefault="00B82E19" w:rsidP="002E5918" w:rsidR="00B82E19">
            <w:r>
              <w:t xml:space="preserve">The possible values for this attribute are defined by the XML Schema </w:t>
            </w:r>
            <w:r>
              <w:t>double</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="CT_Adj"&gt;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idx</w:t>
        </w:r>
      </w:hyperlink>
      <w:r>
        <w:t>" type="</w:t>
      </w:r>
      <w:hyperlink r:id="rId12">
        <w:r>
          <w:rPr>
            <w:rStyle w:val="Hyperlink"/>
          </w:rPr>
          <w:t>ST_Index1</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10">
        <w:r>
          <w:rPr>
            <w:rStyle w:val="Hyperlink"/>
          </w:rPr>
          <w:t>val</w:t>
        </w:r>
      </w:hyperlink>
      <w:r>
        <w:t>" type="xsd:double"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 w:numId="90">
    <w:abstractNumId w:val="4"/>
    <w:lvlOverride w:ilvl="0">
      <w:startOverride w:val="14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djLst.docx" TargetMode="External"/><Relationship Id="rId9" Type="http://schemas.openxmlformats.org/officeDocument/2006/relationships/hyperlink" Target="idx.docx" TargetMode="External"/><Relationship Id="rId10" Type="http://schemas.openxmlformats.org/officeDocument/2006/relationships/hyperlink" Target="val.docx" TargetMode="External"/><Relationship Id="rId11" Type="http://schemas.openxmlformats.org/officeDocument/2006/relationships/hyperlink" Target="end.docx" TargetMode="External"/><Relationship Id="rId12" Type="http://schemas.openxmlformats.org/officeDocument/2006/relationships/hyperlink" Target="ST_Index1.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