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95_1" w:id="100001"/>
      <w:bookmarkStart w:name="book2ddf0381-8e35-4f19-8af4-60f1781e7254_1" w:id="100002"/>
      <w:r>
        <w:t>ST_TextAutonumberScheme</w:t>
      </w:r>
      <w:r>
        <w:t xml:space="preserve"> (Text Auto-number Schemes)</w:t>
      </w:r>
      <w:bookmarkEnd w:id="100001"/>
    </w:p>
    <w:bookmarkEnd w:id="100002"/>
    <w:p w:rsidRDefault="00B82E19" w:rsidP="00B82E19" w:rsidR="00B82E19">
      <w:r>
        <w:t>This type specifies a list of automatic numbering schemes.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alphaLcParenBoth</w:t>
            </w:r>
            <w:r>
              <w:t xml:space="preserve"> (Autonumber Enum ( alphaLcParenBoth ))</w:t>
            </w:r>
          </w:p>
        </w:tc>
        <w:tc>
          <w:tcPr>
            <w:tcW w:type="pct" w:w="2500"/>
          </w:tcPr>
          <w:p w:rsidRDefault="00B82E19" w:rsidP="002E5918" w:rsidR="00B82E19">
            <w:r>
              <w:t>(a), (b), (c),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alphaLcParenR</w:t>
            </w:r>
            <w:r>
              <w:t xml:space="preserve"> (Autonumbering Enum ( alphaLcParenR ))</w:t>
            </w:r>
          </w:p>
        </w:tc>
        <w:tc>
          <w:tcPr>
            <w:tcW w:type="pct" w:w="2500"/>
          </w:tcPr>
          <w:p w:rsidRDefault="00B82E19" w:rsidP="002E5918" w:rsidR="00B82E19">
            <w:r>
              <w:t>a), b), c),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alphaLcPeriod</w:t>
            </w:r>
            <w:r>
              <w:t xml:space="preserve"> (Autonumbering Enum ( alphaLcPeriod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>a., b., c.,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alphaUcParenBoth</w:t>
            </w:r>
            <w:r>
              <w:t xml:space="preserve"> (Autonumbering Enum ( alphaUcParenBoth ))</w:t>
            </w:r>
          </w:p>
        </w:tc>
        <w:tc>
          <w:tcPr>
            <w:tcW w:type="pct" w:w="2500"/>
          </w:tcPr>
          <w:p w:rsidRDefault="00B82E19" w:rsidP="002E5918" w:rsidR="00B82E19">
            <w:r>
              <w:t>(A), (B), (C),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alphaUcParenR</w:t>
            </w:r>
            <w:r>
              <w:t xml:space="preserve"> (Autonumbering Enum ( alphaUcParenR ))</w:t>
            </w:r>
          </w:p>
        </w:tc>
        <w:tc>
          <w:tcPr>
            <w:tcW w:type="pct" w:w="2500"/>
          </w:tcPr>
          <w:p w:rsidRDefault="00B82E19" w:rsidP="002E5918" w:rsidR="00B82E19">
            <w:r>
              <w:t>A), B), C),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alphaUcPeriod</w:t>
            </w:r>
            <w:r>
              <w:t xml:space="preserve"> (Autonumbering Enum ( alphaUcPeriod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>A., B., C.,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arabic1Minus</w:t>
            </w:r>
            <w:r>
              <w:t xml:space="preserve"> (Autonumbering Enum ( arabic1Minus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Bidi Arabic 1 (AraAlpha) with ANSI </w:t>
            </w:r>
            <w:hyperlink r:id="rId8">
              <w:r>
                <w:rPr>
                  <w:rStyle w:val="Hyperlink"/>
                </w:rPr>
                <w:t>minus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symbol</w:t>
              </w:r>
            </w:hyperlink>
            <w:r>
              <w:t/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arabic2Minus</w:t>
            </w:r>
            <w:r>
              <w:t xml:space="preserve"> (Autonumbering Enum ( arabic2Minus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Bidi Arabic 2 (AraAbjad) with ANSI </w:t>
            </w:r>
            <w:hyperlink r:id="rId8">
              <w:r>
                <w:rPr>
                  <w:rStyle w:val="Hyperlink"/>
                </w:rPr>
                <w:t>minus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symbol</w:t>
              </w:r>
            </w:hyperlink>
            <w:r>
              <w:t/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arabicDbPeriod</w:t>
            </w:r>
            <w:r>
              <w:t xml:space="preserve"> (Autonumbering Enum ( arabicDbPeriod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Dbl-byte Arabic numbers </w:t>
            </w:r>
            <w:hyperlink r:id="rId10">
              <w:r>
                <w:rPr>
                  <w:rStyle w:val="Hyperlink"/>
                </w:rPr>
                <w:t>w</w:t>
              </w:r>
            </w:hyperlink>
            <w:r>
              <w:t xml:space="preserve">/ double-byte </w:t>
            </w:r>
            <w:hyperlink r:id="rId11">
              <w:r>
                <w:rPr>
                  <w:rStyle w:val="Hyperlink"/>
                </w:rPr>
                <w:t>period</w:t>
              </w:r>
            </w:hyperlink>
            <w:r>
              <w:t/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arabicDbPlain</w:t>
            </w:r>
            <w:r>
              <w:t xml:space="preserve"> (Autonumbering Enum ( arabicDbPlain ))</w:t>
            </w:r>
          </w:p>
        </w:tc>
        <w:tc>
          <w:tcPr>
            <w:tcW w:type="pct" w:w="2500"/>
          </w:tcPr>
          <w:p w:rsidRDefault="00B82E19" w:rsidP="002E5918" w:rsidR="00B82E19">
            <w:r>
              <w:t>Dbl-byte Arabic numbers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arabicParenBoth</w:t>
            </w:r>
            <w:r>
              <w:t xml:space="preserve"> (Autonumbering Enum ( arabicParenBoth ))</w:t>
            </w:r>
          </w:p>
        </w:tc>
        <w:tc>
          <w:tcPr>
            <w:tcW w:type="pct" w:w="2500"/>
          </w:tcPr>
          <w:p w:rsidRDefault="00B82E19" w:rsidP="002E5918" w:rsidR="00B82E19">
            <w:r>
              <w:t>(1), (2), (3),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arabicParenR</w:t>
            </w:r>
            <w:r>
              <w:t xml:space="preserve"> (Autonumbering Enum ( arabicParenR ))</w:t>
            </w:r>
          </w:p>
        </w:tc>
        <w:tc>
          <w:tcPr>
            <w:tcW w:type="pct" w:w="2500"/>
          </w:tcPr>
          <w:p w:rsidRDefault="00B82E19" w:rsidP="002E5918" w:rsidR="00B82E19">
            <w:r>
              <w:t>1), 2), 3),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arabicPeriod</w:t>
            </w:r>
            <w:r>
              <w:t xml:space="preserve"> (Autonumbering Enum ( arabicPeriod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>1., 2., 3.,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arabicPlain</w:t>
            </w:r>
            <w:r>
              <w:t xml:space="preserve"> (Autonumbering Enum ( arabicPlain ))</w:t>
            </w:r>
          </w:p>
        </w:tc>
        <w:tc>
          <w:tcPr>
            <w:tcW w:type="pct" w:w="2500"/>
          </w:tcPr>
          <w:p w:rsidRDefault="00B82E19" w:rsidP="002E5918" w:rsidR="00B82E19">
            <w:r>
              <w:t>1, 2, 3,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circleNumDbPlain</w:t>
            </w:r>
            <w:r>
              <w:t xml:space="preserve"> (Autonumbering Enum ( circleNumDbPlain ))</w:t>
            </w:r>
          </w:p>
        </w:tc>
        <w:tc>
          <w:tcPr>
            <w:tcW w:type="pct" w:w="2500"/>
          </w:tcPr>
          <w:p w:rsidRDefault="00B82E19" w:rsidP="002E5918" w:rsidR="00B82E19">
            <w:r>
              <w:t>Dbl-byte circle numbers (1-10 circle[0x2460-], 11- arabic numbers)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circleNumWdBlackPlain</w:t>
            </w:r>
            <w:r>
              <w:t xml:space="preserve"> (Autonumbering Enum ( circleNumWdBlackPlain ))</w:t>
            </w:r>
          </w:p>
        </w:tc>
        <w:tc>
          <w:tcPr>
            <w:tcW w:type="pct" w:w="2500"/>
          </w:tcPr>
          <w:p w:rsidRDefault="00B82E19" w:rsidP="002E5918" w:rsidR="00B82E19">
            <w:r>
              <w:t>Wingdings black circle numbers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circleNumWdWhitePlain</w:t>
            </w:r>
            <w:r>
              <w:t xml:space="preserve"> (Autonumbering Enum ( circleNumWdWhitePlain ))</w:t>
            </w:r>
          </w:p>
        </w:tc>
        <w:tc>
          <w:tcPr>
            <w:tcW w:type="pct" w:w="2500"/>
          </w:tcPr>
          <w:p w:rsidRDefault="00B82E19" w:rsidP="002E5918" w:rsidR="00B82E19">
            <w:r>
              <w:t>Wingdings white circle numbers (0-10 circle[0x0080-], 11- arabic numbers)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ea1ChsPeriod</w:t>
            </w:r>
            <w:r>
              <w:t xml:space="preserve"> (Autonumbering Enum ( ea1ChsPeriod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EA: Simplified Chinese </w:t>
            </w:r>
            <w:hyperlink r:id="rId10">
              <w:r>
                <w:rPr>
                  <w:rStyle w:val="Hyperlink"/>
                </w:rPr>
                <w:t>w</w:t>
              </w:r>
            </w:hyperlink>
            <w:r>
              <w:t xml:space="preserve">/ single-byte </w:t>
            </w:r>
            <w:hyperlink r:id="rId11">
              <w:r>
                <w:rPr>
                  <w:rStyle w:val="Hyperlink"/>
                </w:rPr>
                <w:t>period</w:t>
              </w:r>
            </w:hyperlink>
            <w:r>
              <w:t/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ea1ChsPlain</w:t>
            </w:r>
            <w:r>
              <w:t xml:space="preserve"> (Autonumbering Enum ( ea1ChsPlain ))</w:t>
            </w:r>
          </w:p>
        </w:tc>
        <w:tc>
          <w:tcPr>
            <w:tcW w:type="pct" w:w="2500"/>
          </w:tcPr>
          <w:p w:rsidRDefault="00B82E19" w:rsidP="002E5918" w:rsidR="00B82E19">
            <w:r>
              <w:t>EA: Simplified Chinese (TypeA 1-99, TypeC 100-)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ea1ChtPeriod</w:t>
            </w:r>
            <w:r>
              <w:t xml:space="preserve"> (Autonumbering Enum ( ea1ChtPeriod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EA: Traditional Chinese </w:t>
            </w:r>
            <w:hyperlink r:id="rId10">
              <w:r>
                <w:rPr>
                  <w:rStyle w:val="Hyperlink"/>
                </w:rPr>
                <w:t>w</w:t>
              </w:r>
            </w:hyperlink>
            <w:r>
              <w:t xml:space="preserve">/ single-byte </w:t>
            </w:r>
            <w:hyperlink r:id="rId11">
              <w:r>
                <w:rPr>
                  <w:rStyle w:val="Hyperlink"/>
                </w:rPr>
                <w:t>period</w:t>
              </w:r>
            </w:hyperlink>
            <w:r>
              <w:t/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ea1ChtPlain</w:t>
            </w:r>
            <w:r>
              <w:t xml:space="preserve"> (Autonumbering Enum ( ea1ChtPlain ))</w:t>
            </w:r>
          </w:p>
        </w:tc>
        <w:tc>
          <w:tcPr>
            <w:tcW w:type="pct" w:w="2500"/>
          </w:tcPr>
          <w:p w:rsidRDefault="00B82E19" w:rsidP="002E5918" w:rsidR="00B82E19">
            <w:r>
              <w:t>EA: Traditional Chinese (TypeA 1-19, TypeC 20-)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ea1JpnChsDbPeriod</w:t>
            </w:r>
            <w:r>
              <w:t xml:space="preserve"> (Autonumbering Enum ( ea1JpnChsDbPeriod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EA: Japanese </w:t>
            </w:r>
            <w:hyperlink r:id="rId10">
              <w:r>
                <w:rPr>
                  <w:rStyle w:val="Hyperlink"/>
                </w:rPr>
                <w:t>w</w:t>
              </w:r>
            </w:hyperlink>
            <w:r>
              <w:t xml:space="preserve">/ double-byte </w:t>
            </w:r>
            <w:hyperlink r:id="rId11">
              <w:r>
                <w:rPr>
                  <w:rStyle w:val="Hyperlink"/>
                </w:rPr>
                <w:t>period</w:t>
              </w:r>
            </w:hyperlink>
            <w:r>
              <w:t/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ea1JpnKorPeriod</w:t>
            </w:r>
            <w:r>
              <w:t xml:space="preserve"> (Autonumbering Enum ( ea1JpnKorPeriod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EA: Japanese/Korean </w:t>
            </w:r>
            <w:hyperlink r:id="rId10">
              <w:r>
                <w:rPr>
                  <w:rStyle w:val="Hyperlink"/>
                </w:rPr>
                <w:t>w</w:t>
              </w:r>
            </w:hyperlink>
            <w:r>
              <w:t xml:space="preserve">/ single-byte </w:t>
            </w:r>
            <w:hyperlink r:id="rId11">
              <w:r>
                <w:rPr>
                  <w:rStyle w:val="Hyperlink"/>
                </w:rPr>
                <w:t>period</w:t>
              </w:r>
            </w:hyperlink>
            <w:r>
              <w:t/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ea1JpnKorPlain</w:t>
            </w:r>
            <w:r>
              <w:t xml:space="preserve"> (Autonumbering Enum ( ea1JpnKorPlain ))</w:t>
            </w:r>
          </w:p>
        </w:tc>
        <w:tc>
          <w:tcPr>
            <w:tcW w:type="pct" w:w="2500"/>
          </w:tcPr>
          <w:p w:rsidRDefault="00B82E19" w:rsidP="002E5918" w:rsidR="00B82E19">
            <w:r>
              <w:t>EA: Japanese/Korean (TypeC 1-)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hebrew2Minus</w:t>
            </w:r>
            <w:r>
              <w:t xml:space="preserve"> (Autonumbering Enum ( hebrew2Minus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Bidi Hebrew 2 with ANSI </w:t>
            </w:r>
            <w:hyperlink r:id="rId8">
              <w:r>
                <w:rPr>
                  <w:rStyle w:val="Hyperlink"/>
                </w:rPr>
                <w:t>minus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symbol</w:t>
              </w:r>
            </w:hyperlink>
            <w:r>
              <w:t/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hindiAlpha1Period</w:t>
            </w:r>
            <w:r>
              <w:t xml:space="preserve"> (Autonumbering Enum ( hindiAlpha1Period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Hindi alphabet </w:t>
            </w:r>
            <w:hyperlink r:id="rId11">
              <w:r>
                <w:rPr>
                  <w:rStyle w:val="Hyperlink"/>
                </w:rPr>
                <w:t>period</w:t>
              </w:r>
            </w:hyperlink>
            <w:r>
              <w:t xml:space="preserve"> - consonants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hindiAlphaPeriod</w:t>
            </w:r>
            <w:r>
              <w:t xml:space="preserve"> (Autonumbering Enum ( hindiAlphaPeriod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Hindi alphabet </w:t>
            </w:r>
            <w:hyperlink r:id="rId11">
              <w:r>
                <w:rPr>
                  <w:rStyle w:val="Hyperlink"/>
                </w:rPr>
                <w:t>period</w:t>
              </w:r>
            </w:hyperlink>
            <w:r>
              <w:t xml:space="preserve"> - vowels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hindiNumParenR</w:t>
            </w:r>
            <w:r>
              <w:t xml:space="preserve"> (Autonumbering Enum ( hindiNumParenR ))</w:t>
            </w:r>
          </w:p>
        </w:tc>
        <w:tc>
          <w:tcPr>
            <w:tcW w:type="pct" w:w="2500"/>
          </w:tcPr>
          <w:p w:rsidRDefault="00B82E19" w:rsidP="002E5918" w:rsidR="00B82E19">
            <w:r>
              <w:t>Hindi numerical parentheses - right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hindiNumPeriod</w:t>
            </w:r>
            <w:r>
              <w:t xml:space="preserve"> (Autonumbering Enum ( hindiNumPeriod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Hindi numerical </w:t>
            </w:r>
            <w:hyperlink r:id="rId11">
              <w:r>
                <w:rPr>
                  <w:rStyle w:val="Hyperlink"/>
                </w:rPr>
                <w:t>period</w:t>
              </w:r>
            </w:hyperlink>
            <w:r>
              <w:t/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romanLcParenBoth</w:t>
            </w:r>
            <w:r>
              <w:t xml:space="preserve"> (Autonumbering Enum ( romanLcParenBoth ))</w:t>
            </w:r>
          </w:p>
        </w:tc>
        <w:tc>
          <w:tcPr>
            <w:tcW w:type="pct" w:w="2500"/>
          </w:tcPr>
          <w:p w:rsidRDefault="00B82E19" w:rsidP="002E5918" w:rsidR="00B82E19">
            <w:r>
              <w:t>(i), (ii), (iii),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romanLcParenR</w:t>
            </w:r>
            <w:r>
              <w:t xml:space="preserve"> (Autonumbering Enum ( romanLcParenR ))</w:t>
            </w:r>
          </w:p>
        </w:tc>
        <w:tc>
          <w:tcPr>
            <w:tcW w:type="pct" w:w="2500"/>
          </w:tcPr>
          <w:p w:rsidRDefault="00B82E19" w:rsidP="002E5918" w:rsidR="00B82E19">
            <w:r>
              <w:t>i), ii), iii),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romanLcPeriod</w:t>
            </w:r>
            <w:r>
              <w:t xml:space="preserve"> (Autonumbering Enum ( romanLcPeriod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>i., ii., iii.,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romanUcParenBoth</w:t>
            </w:r>
            <w:r>
              <w:t xml:space="preserve"> (Autonumbering Enum ( romanUcParenBoth ))</w:t>
            </w:r>
          </w:p>
        </w:tc>
        <w:tc>
          <w:tcPr>
            <w:tcW w:type="pct" w:w="2500"/>
          </w:tcPr>
          <w:p w:rsidRDefault="00B82E19" w:rsidP="002E5918" w:rsidR="00B82E19">
            <w:r>
              <w:t>(I), (II), (III),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romanUcParenR</w:t>
            </w:r>
            <w:r>
              <w:t xml:space="preserve"> (Autonumbering Enum ( romanUcParenR ))</w:t>
            </w:r>
          </w:p>
        </w:tc>
        <w:tc>
          <w:tcPr>
            <w:tcW w:type="pct" w:w="2500"/>
          </w:tcPr>
          <w:p w:rsidRDefault="00B82E19" w:rsidP="002E5918" w:rsidR="00B82E19">
            <w:r>
              <w:t>I), II), III),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romanUcPeriod</w:t>
            </w:r>
            <w:r>
              <w:t xml:space="preserve"> (Autonumbering Enum ( romanUcPeriod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>I., II., III., …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thaiAlphaParenBoth</w:t>
            </w:r>
            <w:r>
              <w:t xml:space="preserve"> (Autonumbering Enum ( thaiAlphaParenBoth ))</w:t>
            </w:r>
          </w:p>
        </w:tc>
        <w:tc>
          <w:tcPr>
            <w:tcW w:type="pct" w:w="2500"/>
          </w:tcPr>
          <w:p w:rsidRDefault="00B82E19" w:rsidP="002E5918" w:rsidR="00B82E19">
            <w:r>
              <w:t>Thai alphabet parentheses - both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thaiAlphaParenR</w:t>
            </w:r>
            <w:r>
              <w:t xml:space="preserve"> (Autonumbering Enum ( thaiAlphaParenR ))</w:t>
            </w:r>
          </w:p>
        </w:tc>
        <w:tc>
          <w:tcPr>
            <w:tcW w:type="pct" w:w="2500"/>
          </w:tcPr>
          <w:p w:rsidRDefault="00B82E19" w:rsidP="002E5918" w:rsidR="00B82E19">
            <w:r>
              <w:t>Thai alphabet parentheses - right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thaiAlphaPeriod</w:t>
            </w:r>
            <w:r>
              <w:t xml:space="preserve"> (Autonumbering Enum ( thaiAlphaPeriod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Thai alphabet </w:t>
            </w:r>
            <w:hyperlink r:id="rId11">
              <w:r>
                <w:rPr>
                  <w:rStyle w:val="Hyperlink"/>
                </w:rPr>
                <w:t>period</w:t>
              </w:r>
            </w:hyperlink>
            <w:r>
              <w:t/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thaiNumParenBoth</w:t>
            </w:r>
            <w:r>
              <w:t xml:space="preserve"> (Autonumbering Enum ( thaiNumParenBoth ))</w:t>
            </w:r>
          </w:p>
        </w:tc>
        <w:tc>
          <w:tcPr>
            <w:tcW w:type="pct" w:w="2500"/>
          </w:tcPr>
          <w:p w:rsidRDefault="00B82E19" w:rsidP="002E5918" w:rsidR="00B82E19">
            <w:r>
              <w:t>Thai numerical parentheses - both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thaiNumParenR</w:t>
            </w:r>
            <w:r>
              <w:t xml:space="preserve"> (Autonumbering Enum ( thaiNumParenR ))</w:t>
            </w:r>
          </w:p>
        </w:tc>
        <w:tc>
          <w:tcPr>
            <w:tcW w:type="pct" w:w="2500"/>
          </w:tcPr>
          <w:p w:rsidRDefault="00B82E19" w:rsidP="002E5918" w:rsidR="00B82E19">
            <w:r>
              <w:t>Thai numerical parentheses - right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thaiNumPeriod</w:t>
            </w:r>
            <w:r>
              <w:t xml:space="preserve"> (Autonumbering Enum ( thaiNumPeriod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Thai numerical </w:t>
            </w:r>
            <w:hyperlink r:id="rId11">
              <w:r>
                <w:rPr>
                  <w:rStyle w:val="Hyperlink"/>
                </w:rPr>
                <w:t>period</w:t>
              </w:r>
            </w:hyperlink>
            <w:r>
              <w:t/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buAutoNum@type</w:t>
            </w:r>
            <w:r>
              <w:t xml:space="preserve"> (§</w:t>
            </w:r>
            <w:fldSimple w:instr="REF bookecd931ee-d8df-4bcd-99d4-5fac90d62bb4 \r \h">
              <w:r>
                <w:t>5.1.5.4.1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="ST_TextAutonumberScheme"&gt;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value="alphaLcParenBoth"/&gt;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value="alphaUcParenBoth"/&gt;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value="alphaLcParenR"/&gt;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value="alphaUcParenR"/&gt;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value="alphaLcPeriod"/&gt;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value="alphaUcPeriod"/&gt;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value="arabicParenBoth"/&gt;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value="arabicParenR"/&gt;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value="arabicPeriod"/&gt;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value="arabicPlain"/&gt;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value="romanLcParenBoth"/&gt;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value="romanUcParenBoth"/&gt;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value="romanLcParenR"/&gt;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value="romanUcParenR"/&gt;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value="romanLcPeriod"/&gt;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value="romanUcPeriod"/&gt;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value="circleNumDbPlain"/&gt;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value="circleNumWdBlackPlain"/&gt;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value="circleNumWdWhitePlain"/&gt;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value="arabicDbPeriod"/&gt;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value="arabicDbPlain"/&gt;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value="ea1ChsPeriod"/&gt;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value="ea1ChsPlain"/&gt;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value="ea1ChtPeriod"/&gt;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value="ea1ChtPlain"/&gt;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value="ea1JpnChsDbPeriod"/&gt;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value="ea1JpnKorPlain"/&gt;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value="ea1JpnKorPeriod"/&gt;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value="arabic1Minus"/&gt;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value="arabic2Minus"/&gt;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value="hebrew2Minus"/&gt;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value="thaiAlphaPeriod"/&gt;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value="thaiAlphaParenR"/&gt;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value="thaiAlphaParenBoth"/&gt;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value="thaiNumPeriod"/&gt;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value="thaiNumParenR"/&gt;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value="thaiNumParenBoth"/&gt;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value="hindiAlphaPeriod"/&gt;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value="hindiNumPeriod"/&gt;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value="hindiNumParenR"/&gt;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value="hindiAlpha1Period"/&gt;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inus.docx" TargetMode="External"/><Relationship Id="rId9" Type="http://schemas.openxmlformats.org/officeDocument/2006/relationships/hyperlink" Target="symbol.docx" TargetMode="External"/><Relationship Id="rId10" Type="http://schemas.openxmlformats.org/officeDocument/2006/relationships/hyperlink" Target="w.docx" TargetMode="External"/><Relationship Id="rId11" Type="http://schemas.openxmlformats.org/officeDocument/2006/relationships/hyperlink" Target="period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