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5_1" w:id="100001"/>
      <w:bookmarkStart w:name="book5df203a6-553e-451d-993b-d4e747c11222_1" w:id="100002"/>
      <w:r>
        <w:t>ST_SplitType</w:t>
      </w:r>
      <w:r>
        <w:t xml:space="preserve"> (Split Type)</w:t>
      </w:r>
      <w:bookmarkEnd w:id="100001"/>
    </w:p>
    <w:bookmarkEnd w:id="100002"/>
    <w:p w:rsidRDefault="00B82E19" w:rsidP="00B82E19" w:rsidR="00B82E19">
      <w:r>
        <w:t>This simple type specifies the possible ways to split a pie of pie or bar of pie chart.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auto</w:t>
              </w:r>
            </w:hyperlink>
            <w:r>
              <w:t/>
            </w:r>
            <w:r>
              <w:t xml:space="preserve"> (Default Split)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data points shall be split using the default mechanism for this chart type.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cust</w:t>
            </w:r>
            <w:r>
              <w:t xml:space="preserve"> (Custom Split)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data points shall be split between the pie and the second chart according to the Custom Split values.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percent</w:t>
            </w:r>
            <w:r>
              <w:t xml:space="preserve"> (Split by Percentage)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data points shall be split between the pie and the second chart by putting the points with percentage less than Split Position percent in the second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(Split by Position)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data points shall be split between the pie and the second chart by putting the last Split Position of the data points in the second chart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(Split by Value)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data points shall be split between the pie and the second chart by putting the data points with value less than Split Position in the second chart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splitType@val</w:t>
            </w:r>
            <w:r>
              <w:t xml:space="preserve"> (§</w:t>
            </w:r>
            <w:fldSimple w:instr="REF book0467fc8c-cef5-453b-9333-02cb53e3debe \r \h">
              <w:r>
                <w:t>5.7.2.197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="ST_SplitType"&gt;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auto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value="percent"/&gt;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pos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val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.docx" TargetMode="External"/><Relationship Id="rId9" Type="http://schemas.openxmlformats.org/officeDocument/2006/relationships/hyperlink" Target="po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