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3_1" w:id="100001"/>
      <w:bookmarkStart w:name="bookfad8f5b5-9bd8-4be5-aaef-977c898fdd76_1" w:id="100002"/>
      <w:r>
        <w:t>ST_SizeRepresents</w:t>
      </w:r>
      <w:r>
        <w:t xml:space="preserve"> (Size Represents)</w:t>
      </w:r>
      <w:bookmarkEnd w:id="100001"/>
    </w:p>
    <w:bookmarkEnd w:id="100002"/>
    <w:p w:rsidRDefault="00B82E19" w:rsidP="00B82E19" w:rsidR="00B82E19">
      <w:r>
        <w:t>This simple type specifies the possible ways to represent data as bubble chart sizes.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area</w:t>
            </w:r>
            <w:r>
              <w:t xml:space="preserve"> (Bubble Size Represents Area)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area of the bubbles shall be proportional to the bubble size value.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(Bubble Size Represents Width)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radius of the bubbles shall be proportional to the bubble size value.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sizeRepresents@val</w:t>
            </w:r>
            <w:r>
              <w:t xml:space="preserve"> (§</w:t>
            </w:r>
            <w:fldSimple w:instr="REF book3a02a1a7-a634-4b55-aff3-040722a6df25 \r \h">
              <w:r>
                <w:t>5.7.2.194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="ST_SizeRepresents"&gt;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value="area"/&gt;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w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