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60_1" w:id="100001"/>
      <w:bookmarkStart w:name="bookdf584dee-386a-4adf-bb60-8c30df2e48ac_1" w:id="100002"/>
      <w:r>
        <w:t>ST_SecondaryLinearDirection</w:t>
      </w:r>
      <w:r>
        <w:t xml:space="preserve"> (Secondary Linear Direction)</w:t>
      </w:r>
      <w:bookmarkEnd w:id="100001"/>
    </w:p>
    <w:bookmarkEnd w:id="100002"/>
    <w:p w:rsidRDefault="00B82E19" w:rsidP="00B82E19" w:rsidR="00B82E19">
      <w:r>
        <w:t xml:space="preserve">This simple type defines different directions for the nodes in a both hanging </w:t>
      </w:r>
      <w:hyperlink r:id="rId8">
        <w:r>
          <w:rPr>
            <w:rStyle w:val="Hyperlink"/>
          </w:rPr>
          <w:t>layout</w:t>
        </w:r>
      </w:hyperlink>
      <w:r>
        <w:t xml:space="preserve"> in the hierarchy algorithm.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fromB</w:t>
            </w:r>
            <w:r>
              <w:t xml:space="preserve"> (From 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nodes begin from the bottom and move upward.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fromL</w:t>
            </w:r>
            <w:r>
              <w:t xml:space="preserve"> (From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nodes begin from the left and move right.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fromR</w:t>
            </w:r>
            <w:r>
              <w:t xml:space="preserve"> (From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nodes begin from the right and move left.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fromT</w:t>
            </w:r>
            <w:r>
              <w:t xml:space="preserve"> (From Top)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nodes begin from the top and move downward.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no direction.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="ST_SecondaryLinearDirection"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value="fromB"/&gt;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  <w:num w:numId="98">
    <w:abstractNumId w:val="4"/>
    <w:lvlOverride w:ilvl="0">
      <w:startOverride w:val="163"/>
    </w:lvlOverride>
  </w:num>
  <w:num w:numId="99">
    <w:abstractNumId w:val="4"/>
    <w:lvlOverride w:ilvl="0">
      <w:startOverride w:val="1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ST_Parameter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