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0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67_1" w:id="100001"/>
      <w:bookmarkStart w:name="book7f6b6d4a-644a-452b-be56-76d3ed946ae9_1" w:id="100002"/>
      <w:r>
        <w:t>ST_MarkerStyle</w:t>
      </w:r>
      <w:r>
        <w:t xml:space="preserve"> (Marker Style)</w:t>
      </w:r>
      <w:bookmarkEnd w:id="100001"/>
    </w:p>
    <w:bookmarkEnd w:id="100002"/>
    <w:p w:rsidRDefault="00B82E19" w:rsidP="00B82E19" w:rsidR="00B82E19">
      <w:r>
        <w:t xml:space="preserve">This picture shows each of the </w:t>
      </w:r>
      <w:hyperlink r:id="rId9">
        <w:r>
          <w:rPr>
            <w:rStyle w:val="Hyperlink"/>
          </w:rPr>
          <w:t>marker</w:t>
        </w:r>
      </w:hyperlink>
      <w:r>
        <w:t xml:space="preserve"> styles. Black is used as the line color, while red is used as the </w:t>
      </w:r>
      <w:hyperlink r:id="rId10">
        <w:r>
          <w:rPr>
            <w:rStyle w:val="Hyperlink"/>
          </w:rPr>
          <w:t>fill</w:t>
        </w:r>
      </w:hyperlink>
      <w:r>
        <w:t xml:space="preserve"> color. The height of the dash and the dot are 1/5th of the height of the marker. The width of the dot is 1/2 the width of the marker. The dash and dot have fills as well, but the markers need to be made quite large before these are visible. </w:t>
      </w:r>
    </w:p>
    <w:p w:rsidRDefault="00B82E19" w:rsidP="00B82E19" w:rsidR="00B82E19">
      <w:r>
        <w:drawing>
          <wp:inline distR="0" distL="0" distB="0" distT="0">
            <wp:extent cy="2051050" cx="892810"/>
            <wp:effectExtent b="6350" r="2540" t="0" l="0"/>
            <wp:docPr name="Picture 2" id="9638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054860" cx="89471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circle</w:t>
            </w:r>
            <w:r>
              <w:t xml:space="preserve"> (Circle)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circle shall be drawn at each data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</w:t>
            </w:r>
            <w:r>
              <w:t xml:space="preserve"> (Dash)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dash shall be drawn at each data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diamond</w:t>
            </w:r>
            <w:r>
              <w:t xml:space="preserve"> (Diamond)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diamond shall be drawn at each data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dot</w:t>
            </w:r>
            <w:r>
              <w:t xml:space="preserve"> (Dot)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dot shall be drawn at each data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nothing shall be drawn at each data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picture</w:t>
            </w:r>
            <w:r>
              <w:t xml:space="preserve"> (Picture)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picture shall be drawn at each data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plus</w:t>
              </w:r>
            </w:hyperlink>
            <w:r>
              <w:t/>
            </w:r>
            <w:r>
              <w:t xml:space="preserve"> (Plus)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a </w:t>
            </w:r>
            <w:hyperlink r:id="rId11">
              <w:r>
                <w:rPr>
                  <w:rStyle w:val="Hyperlink"/>
                </w:rPr>
                <w:t>plus</w:t>
              </w:r>
            </w:hyperlink>
            <w:r>
              <w:t xml:space="preserve"> shall be drawn at each data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square</w:t>
            </w:r>
            <w:r>
              <w:t xml:space="preserve"> (Square)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square shall be drawn at each data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star</w:t>
            </w:r>
            <w:r>
              <w:t xml:space="preserve"> (Star)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star shall be drawn at each data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triangle</w:t>
            </w:r>
            <w:r>
              <w:t xml:space="preserve"> (Triangle)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triangle shall be drawn at each data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(X)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an X shall be drawn at each data point.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symbol@val</w:t>
            </w:r>
            <w:r>
              <w:t xml:space="preserve"> (§</w:t>
            </w:r>
            <w:fldSimple w:instr="REF book98d0692e-d2dd-411c-bfba-3274cda9af79 \r \h">
              <w:r>
                <w:t>5.7.2.206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="ST_MarkerStyle"&gt;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value="circle"/&gt;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value="diamond"/&gt;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value="picture"/&gt;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plus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value="square"/&gt;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value="star"/&gt;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value="triangle"/&gt;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2">
        <w:r>
          <w:rPr>
            <w:rStyle w:val="Hyperlink"/>
          </w:rPr>
          <w:t>x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03.png"></Relationship><Relationship Id="rId9" Type="http://schemas.openxmlformats.org/officeDocument/2006/relationships/hyperlink" Target="marker.docx" TargetMode="External"/><Relationship Id="rId10" Type="http://schemas.openxmlformats.org/officeDocument/2006/relationships/hyperlink" Target="fill.docx" TargetMode="External"/><Relationship Id="rId11" Type="http://schemas.openxmlformats.org/officeDocument/2006/relationships/hyperlink" Target="plus.docx" TargetMode="External"/><Relationship Id="rId12" Type="http://schemas.openxmlformats.org/officeDocument/2006/relationships/hyperlink" Target="x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