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45_1" w:id="100001"/>
      <w:bookmarkStart w:name="book837ad09e-be7a-46a1-b64f-58c19dc52a28_1" w:id="100002"/>
      <w:r>
        <w:t>ST_LinearDirection</w:t>
      </w:r>
      <w:r>
        <w:t xml:space="preserve"> (Linear Direction)</w:t>
      </w:r>
      <w:bookmarkEnd w:id="100001"/>
    </w:p>
    <w:bookmarkEnd w:id="100002"/>
    <w:p w:rsidRDefault="00B82E19" w:rsidP="00B82E19" w:rsidR="00B82E19">
      <w:r>
        <w:t>This simple type defines the direction of growth of new nodes.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fromB</w:t>
            </w:r>
            <w:r>
              <w:t xml:space="preserve"> (From Bottom)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growth to </w:t>
            </w:r>
            <w:hyperlink r:id="rId8">
              <w:r>
                <w:rPr>
                  <w:rStyle w:val="Hyperlink"/>
                </w:rPr>
                <w:t>start</w:t>
              </w:r>
            </w:hyperlink>
            <w:r>
              <w:t xml:space="preserve"> from the bottom.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fromL</w:t>
            </w:r>
            <w:r>
              <w:t xml:space="preserve"> (From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growth to </w:t>
            </w:r>
            <w:hyperlink r:id="rId8">
              <w:r>
                <w:rPr>
                  <w:rStyle w:val="Hyperlink"/>
                </w:rPr>
                <w:t>start</w:t>
              </w:r>
            </w:hyperlink>
            <w:r>
              <w:t xml:space="preserve"> from the left.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fromR</w:t>
            </w:r>
            <w:r>
              <w:t xml:space="preserve"> (From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growth to </w:t>
            </w:r>
            <w:hyperlink r:id="rId8">
              <w:r>
                <w:rPr>
                  <w:rStyle w:val="Hyperlink"/>
                </w:rPr>
                <w:t>start</w:t>
              </w:r>
            </w:hyperlink>
            <w:r>
              <w:t xml:space="preserve"> from the right.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fromT</w:t>
            </w:r>
            <w:r>
              <w:t xml:space="preserve"> (From Top)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growth to </w:t>
            </w:r>
            <w:hyperlink r:id="rId8">
              <w:r>
                <w:rPr>
                  <w:rStyle w:val="Hyperlink"/>
                </w:rPr>
                <w:t>start</w:t>
              </w:r>
            </w:hyperlink>
            <w:r>
              <w:t xml:space="preserve"> from the Top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ST_ParameterVal</w:t>
              </w:r>
            </w:hyperlink>
            <w:r>
              <w:t/>
            </w:r>
            <w:r>
              <w:t xml:space="preserve"> (§</w:t>
            </w:r>
            <w:fldSimple w:instr="REF book76d00bd0-0e58-440f-ab26-cb934b180a17 \r \h">
              <w:r>
                <w:t>5.9.7.49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="ST_LinearDirection"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value="fromL"/&gt;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value="fromR"/&gt;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value="fromT"/&gt;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value="fromB"/&gt;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  <w:num w:numId="93">
    <w:abstractNumId w:val="4"/>
    <w:lvlOverride w:ilvl="0">
      <w:startOverride w:val="150"/>
    </w:lvlOverride>
  </w:num>
  <w:num w:numId="94">
    <w:abstractNumId w:val="4"/>
    <w:lvlOverride w:ilvl="0">
      <w:startOverride w:val="151"/>
    </w:lvlOverride>
  </w:num>
  <w:num w:numId="95">
    <w:abstractNumId w:val="4"/>
    <w:lvlOverride w:ilvl="0">
      <w:startOverride w:val="158"/>
    </w:lvlOverride>
  </w:num>
  <w:num w:numId="96">
    <w:abstractNumId w:val="4"/>
    <w:lvlOverride w:ilvl="0">
      <w:startOverride w:val="15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art.docx" TargetMode="External"/><Relationship Id="rId9" Type="http://schemas.openxmlformats.org/officeDocument/2006/relationships/hyperlink" Target="ST_ParameterVal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