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1_1" w:id="100001"/>
      <w:bookmarkStart w:name="book56f7dd30-a431-4069-84f9-baa7391a937c_1" w:id="100002"/>
      <w:r>
        <w:t>ST_DLblPos</w:t>
      </w:r>
      <w:r>
        <w:t xml:space="preserve"> (Data Label Position)</w:t>
      </w:r>
      <w:bookmarkEnd w:id="100001"/>
    </w:p>
    <w:bookmarkEnd w:id="100002"/>
    <w:p w:rsidRDefault="00B82E19" w:rsidP="00B82E19" w:rsidR="00B82E19">
      <w:r>
        <w:t>This simple type specifies the possible positions for a data label.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below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bestFit</w:t>
            </w:r>
            <w:r>
              <w:t xml:space="preserve"> (Best Fit)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in the best position.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(Center)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centered on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inBase</w:t>
            </w:r>
            <w:r>
              <w:t xml:space="preserve"> (Inside Base)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inside the base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inEnd</w:t>
            </w:r>
            <w:r>
              <w:t xml:space="preserve"> (Inside End)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data labels shall be displayed inside the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to the left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outEnd</w:t>
            </w:r>
            <w:r>
              <w:t xml:space="preserve"> (Outside End)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data labels shall be displayed outside the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to the right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data labels shall be displayed above the data marker.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dLblPos@val</w:t>
            </w:r>
            <w:r>
              <w:t xml:space="preserve"> (§</w:t>
            </w:r>
            <w:fldSimple w:instr="REF booka9239ddc-c0ed-4018-894e-f3a34263c068 \r \h">
              <w:r>
                <w:t>5.7.2.48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="ST_DLblPos"&gt;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value="bestFit"/&gt;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value="inBase"/&gt;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value="inEnd"/&gt;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value="outEnd"/&gt;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