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522.emf" ContentType="image/x-emf"/>
  <Override PartName="/word/media/image523.emf" ContentType="image/x-em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726_1" w:id="100001"/>
      <w:bookmarkStart w:name="bookfb12480d-15d5-42b0-a540-14ac3720bae9_1" w:id="100002"/>
      <w:r>
        <w:t>ST_ContinueDirection</w:t>
      </w:r>
      <w:r>
        <w:t xml:space="preserve"> (Continue Direction)</w:t>
      </w:r>
      <w:bookmarkEnd w:id="100001"/>
    </w:p>
    <w:bookmarkEnd w:id="100002"/>
    <w:p w:rsidRDefault="00B82E19" w:rsidP="00B82E19" w:rsidR="00B82E19">
      <w:r>
        <w:t>This simple type specifies the behavior of  the direction that additional nodes are added to new rows or columns in the snake algorithm.</w:t>
      </w:r>
    </w:p>
    <w:p w:rsidRDefault="00B82E19" w:rsidP="00B82E19" w:rsidR="00B82E19">
      <w:r>
        <w:t xml:space="preserve">This simple type's contents are a restriction of the XML Schema </w:t>
      </w:r>
      <w:r>
        <w:t>token</w:t>
      </w:r>
      <w:r>
        <w:t xml:space="preserve"> datatype.</w:t>
      </w:r>
    </w:p>
    <w:p w:rsidRDefault="00B82E19" w:rsidP="00B82E19" w:rsidR="00B82E19">
      <w:r>
        <w:t>The following are possible enumeration values for this type: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5155"/>
        <w:gridCol w:w="5155"/>
      </w:tblGrid>
      <w:tr w:rsidTr="002E5918" w:rsidR="00B82E19">
        <w:trPr>
          <w:cnfStyle w:val="100000000000"/>
        </w:trPr>
        <w:tc>
          <w:tcPr>
            <w:tcW w:type="pct" w:w="2500"/>
          </w:tcPr>
          <w:p w:rsidRDefault="00B82E19" w:rsidP="002E5918" w:rsidR="00B82E19">
            <w:r>
              <w:t>Enumeration Value</w:t>
            </w:r>
          </w:p>
        </w:tc>
        <w:tc>
          <w:tcPr>
            <w:tcW w:type="pct" w:w="2500"/>
          </w:tcPr>
          <w:p w:rsidRDefault="00B82E19" w:rsidP="002E5918" w:rsidR="00B82E19">
            <w:r>
              <w:t>Description</w:t>
            </w:r>
          </w:p>
        </w:tc>
      </w:tr>
      <w:tr w:rsidTr="002E5918" w:rsidR="00B82E19">
        <w:tc>
          <w:tcPr>
            <w:tcW w:type="pct" w:w="2500"/>
          </w:tcPr>
          <w:p w:rsidRDefault="00B82E19" w:rsidP="002E5918" w:rsidR="00B82E19">
            <w:r>
              <w:t>revDir</w:t>
            </w:r>
            <w:r>
              <w:t xml:space="preserve"> (Reverse Direction)</w:t>
            </w:r>
          </w:p>
        </w:tc>
        <w:tc>
          <w:tcPr>
            <w:tcW w:type="pct" w:w="2500"/>
          </w:tcPr>
          <w:sdt>
            <w:sdtPr>
              <w:alias w:val="de38343b-178d-4f90-9938-64927dabf935"/>
              <w:id w:val="228304814"/>
            </w:sdtPr>
            <w:sdtContent>
              <w:p w:rsidRDefault="00B82E19" w:rsidP="002E5918" w:rsidR="00B82E19">
                <w:r>
                  <w:t xml:space="preserve">Specifies that the direction is to be revered on a subsequent </w:t>
                </w:r>
                <w:hyperlink r:id="rId10">
                  <w:r>
                    <w:rPr>
                      <w:rStyle w:val="Hyperlink"/>
                    </w:rPr>
                    <w:t>row</w:t>
                  </w:r>
                </w:hyperlink>
                <w:r>
                  <w:t xml:space="preserve"> or column.</w:t>
                </w:r>
              </w:p>
              <w:p w:rsidRDefault="00B82E19" w:rsidP="002E5918" w:rsidR="00B82E19"/>
              <w:p w:rsidRDefault="00B82E19" w:rsidP="002E5918" w:rsidR="00B82E19">
                <w:r>
                  <w:t>[</w:t>
                </w:r>
                <w:r>
                  <w:t>Example</w:t>
                </w:r>
                <w:r>
                  <w:t>:  Consider the following diagram as an example of reverse direction</w:t>
                </w:r>
              </w:p>
              <w:p w:rsidRDefault="00B82E19" w:rsidP="002E5918" w:rsidR="00B82E19"/>
              <w:p w:rsidRDefault="00B82E19" w:rsidP="002E5918" w:rsidR="00B82E19">
                <w:r>
                  <w:drawing>
                    <wp:inline distR="0" distL="0" distB="0" distT="0">
                      <wp:extent cy="1871730" cx="2743200"/>
                      <wp:effectExtent b="0" r="0" t="0" l="0"/>
                      <wp:docPr name="Picture 204" id="38426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Picture 204" id="0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y="0" x="0"/>
                                <a:ext cy="1871730" cx="274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Default="00B82E19" w:rsidP="002E5918" w:rsidR="00B82E19"/>
              <w:p w:rsidRDefault="00B82E19" w:rsidP="002E5918" w:rsidR="00B82E19">
                <w:r>
                  <w:t/>
                </w:r>
                <w:hyperlink r:id="rId11">
                  <w:r>
                    <w:rPr>
                      <w:rStyle w:val="Hyperlink"/>
                    </w:rPr>
                    <w:t>end</w:t>
                  </w:r>
                </w:hyperlink>
                <w:r>
                  <w:t xml:space="preserve"> example</w:t>
                </w:r>
                <w:r>
                  <w:t>]</w:t>
                </w:r>
              </w:p>
            </w:sdtContent>
          </w:sdt>
        </w:tc>
      </w:tr>
      <w:tr w:rsidTr="002E5918" w:rsidR="00B82E19">
        <w:tc>
          <w:tcPr>
            <w:tcW w:type="pct" w:w="2500"/>
          </w:tcPr>
          <w:p w:rsidRDefault="00B82E19" w:rsidP="002E5918" w:rsidR="00B82E19">
            <w:r>
              <w:t>sameDir</w:t>
            </w:r>
            <w:r>
              <w:t xml:space="preserve"> (Same Direction)</w:t>
            </w:r>
          </w:p>
        </w:tc>
        <w:tc>
          <w:tcPr>
            <w:tcW w:type="pct" w:w="2500"/>
          </w:tcPr>
          <w:sdt>
            <w:sdtPr>
              <w:alias w:val="454f15ab-5bb1-4b89-82c9-875048e5d4ab"/>
              <w:id w:val="228304819"/>
            </w:sdtPr>
            <w:sdtContent>
              <w:p w:rsidRDefault="00B82E19" w:rsidP="002E5918" w:rsidR="00B82E19">
                <w:r>
                  <w:t xml:space="preserve">Specifies that the direction is to be maintained on a subsequent </w:t>
                </w:r>
                <w:hyperlink r:id="rId10">
                  <w:r>
                    <w:rPr>
                      <w:rStyle w:val="Hyperlink"/>
                    </w:rPr>
                    <w:t>row</w:t>
                  </w:r>
                </w:hyperlink>
                <w:r>
                  <w:t xml:space="preserve"> or column.</w:t>
                </w:r>
              </w:p>
              <w:p w:rsidRDefault="00B82E19" w:rsidP="002E5918" w:rsidR="00B82E19"/>
              <w:p w:rsidRDefault="00B82E19" w:rsidP="002E5918" w:rsidR="00B82E19">
                <w:r>
                  <w:t>[</w:t>
                </w:r>
                <w:r>
                  <w:t>Example</w:t>
                </w:r>
                <w:r>
                  <w:t>:  Consider the following diagram as an example of same direction</w:t>
                </w:r>
              </w:p>
              <w:p w:rsidRDefault="00B82E19" w:rsidP="002E5918" w:rsidR="00B82E19"/>
              <w:p w:rsidRDefault="00B82E19" w:rsidP="002E5918" w:rsidR="00B82E19">
                <w:r>
                  <w:drawing>
                    <wp:inline distR="0" distL="0" distB="0" distT="0">
                      <wp:extent cy="1806292" cx="2743200"/>
                      <wp:effectExtent b="0" r="0" t="0" l="0"/>
                      <wp:docPr name="Picture 203" id="74306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Picture 203" id="0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y="0" x="0"/>
                                <a:ext cy="1806292" cx="274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Default="00B82E19" w:rsidP="002E5918" w:rsidR="00B82E19"/>
              <w:p w:rsidRDefault="00B82E19" w:rsidP="002E5918" w:rsidR="00B82E19">
                <w:r>
                  <w:t/>
                </w:r>
                <w:hyperlink r:id="rId11">
                  <w:r>
                    <w:rPr>
                      <w:rStyle w:val="Hyperlink"/>
                    </w:rPr>
                    <w:t>end</w:t>
                  </w:r>
                </w:hyperlink>
                <w:r>
                  <w:t xml:space="preserve"> example</w:t>
                </w:r>
                <w:r>
                  <w:t>]</w:t>
                </w:r>
              </w:p>
            </w:sdtContent>
          </w:sdt>
        </w:tc>
      </w:tr>
    </w:tbl>
    <w:p w:rsidRDefault="00B82E19" w:rsidP="00B82E19" w:rsidR="00B82E19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Referenced By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/>
            </w:r>
            <w:hyperlink r:id="rId12">
              <w:r>
                <w:rPr>
                  <w:rStyle w:val="Hyperlink"/>
                </w:rPr>
                <w:t>ST_ParameterVal</w:t>
              </w:r>
            </w:hyperlink>
            <w:r>
              <w:t/>
            </w:r>
            <w:r>
              <w:t xml:space="preserve"> (§</w:t>
            </w:r>
            <w:fldSimple w:instr="REF book76d00bd0-0e58-440f-ab26-cb934b180a17 \r \h">
              <w:r>
                <w:t>5.9.7.49</w:t>
              </w:r>
            </w:fldSimple>
            <w:r>
              <w:t>)</w:t>
            </w:r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simple type: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&lt;simpleType </w:t>
      </w:r>
      <w:hyperlink r:id="rId13">
        <w:r>
          <w:rPr>
            <w:rStyle w:val="Hyperlink"/>
          </w:rPr>
          <w:t>name</w:t>
        </w:r>
      </w:hyperlink>
      <w:r>
        <w:t>="ST_ContinueDirection" final="restriction"&gt;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base="xsd:token"&gt;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value="revDir"/&gt;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value="sameDir"/&gt;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  <w:num w:numId="69">
    <w:abstractNumId w:val="4"/>
    <w:lvlOverride w:ilvl="0">
      <w:startOverride w:val="101"/>
    </w:lvlOverride>
  </w:num>
  <w:num w:numId="70">
    <w:abstractNumId w:val="4"/>
    <w:lvlOverride w:ilvl="0">
      <w:startOverride w:val="102"/>
    </w:lvlOverride>
  </w:num>
  <w:num w:numId="71">
    <w:abstractNumId w:val="4"/>
    <w:lvlOverride w:ilvl="0">
      <w:startOverride w:val="104"/>
    </w:lvlOverride>
  </w:num>
  <w:num w:numId="72">
    <w:abstractNumId w:val="4"/>
    <w:lvlOverride w:ilvl="0">
      <w:startOverride w:val="106"/>
    </w:lvlOverride>
  </w:num>
  <w:num w:numId="73">
    <w:abstractNumId w:val="4"/>
    <w:lvlOverride w:ilvl="0">
      <w:startOverride w:val="108"/>
    </w:lvlOverride>
  </w:num>
  <w:num w:numId="74">
    <w:abstractNumId w:val="4"/>
    <w:lvlOverride w:ilvl="0">
      <w:startOverride w:val="110"/>
    </w:lvlOverride>
  </w:num>
  <w:num w:numId="75">
    <w:abstractNumId w:val="4"/>
    <w:lvlOverride w:ilvl="0">
      <w:startOverride w:val="112"/>
    </w:lvlOverride>
  </w:num>
  <w:num w:numId="76">
    <w:abstractNumId w:val="4"/>
    <w:lvlOverride w:ilvl="0">
      <w:startOverride w:val="114"/>
    </w:lvlOverride>
  </w:num>
  <w:num w:numId="77">
    <w:abstractNumId w:val="4"/>
    <w:lvlOverride w:ilvl="0">
      <w:startOverride w:val="116"/>
    </w:lvlOverride>
  </w:num>
  <w:num w:numId="78">
    <w:abstractNumId w:val="4"/>
    <w:lvlOverride w:ilvl="0">
      <w:startOverride w:val="118"/>
    </w:lvlOverride>
  </w:num>
  <w:num w:numId="79">
    <w:abstractNumId w:val="4"/>
    <w:lvlOverride w:ilvl="0">
      <w:startOverride w:val="120"/>
    </w:lvlOverride>
  </w:num>
  <w:num w:numId="80">
    <w:abstractNumId w:val="4"/>
    <w:lvlOverride w:ilvl="0">
      <w:startOverride w:val="122"/>
    </w:lvlOverride>
  </w:num>
  <w:num w:numId="81">
    <w:abstractNumId w:val="4"/>
    <w:lvlOverride w:ilvl="0">
      <w:startOverride w:val="124"/>
    </w:lvlOverride>
  </w:num>
  <w:num w:numId="82">
    <w:abstractNumId w:val="4"/>
    <w:lvlOverride w:ilvl="0">
      <w:startOverride w:val="126"/>
    </w:lvlOverride>
  </w:num>
  <w:num w:numId="83">
    <w:abstractNumId w:val="4"/>
    <w:lvlOverride w:ilvl="0">
      <w:startOverride w:val="128"/>
    </w:lvlOverride>
  </w:num>
  <w:num w:numId="84">
    <w:abstractNumId w:val="4"/>
    <w:lvlOverride w:ilvl="0">
      <w:startOverride w:val="129"/>
    </w:lvlOverride>
  </w:num>
  <w:num w:numId="85">
    <w:abstractNumId w:val="4"/>
    <w:lvlOverride w:ilvl="0">
      <w:startOverride w:val="131"/>
    </w:lvlOverride>
  </w:num>
  <w:num w:numId="86">
    <w:abstractNumId w:val="4"/>
    <w:lvlOverride w:ilvl="0">
      <w:startOverride w:val="133"/>
    </w:lvlOverride>
  </w:num>
  <w:num w:numId="87">
    <w:abstractNumId w:val="4"/>
    <w:lvlOverride w:ilvl="0">
      <w:startOverride w:val="135"/>
    </w:lvlOverride>
  </w:num>
  <w:num w:numId="88">
    <w:abstractNumId w:val="4"/>
    <w:lvlOverride w:ilvl="0">
      <w:startOverride w:val="136"/>
    </w:lvlOverride>
  </w:num>
  <w:num w:numId="89">
    <w:abstractNumId w:val="4"/>
    <w:lvlOverride w:ilvl="0">
      <w:startOverride w:val="138"/>
    </w:lvlOverride>
  </w:num>
  <w:num w:numId="90">
    <w:abstractNumId w:val="4"/>
    <w:lvlOverride w:ilvl="0">
      <w:startOverride w:val="140"/>
    </w:lvlOverride>
  </w:num>
  <w:num w:numId="91">
    <w:abstractNumId w:val="4"/>
    <w:lvlOverride w:ilvl="0">
      <w:startOverride w:val="142"/>
    </w:lvlOverride>
  </w:num>
  <w:num w:numId="92">
    <w:abstractNumId w:val="4"/>
    <w:lvlOverride w:ilvl="0">
      <w:startOverride w:val="146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image" Target="media/image522.emf"></Relationship><Relationship Id="rId9" Type="http://schemas.openxmlformats.org/officeDocument/2006/relationships/image" Target="media/image523.emf"></Relationship><Relationship Id="rId10" Type="http://schemas.openxmlformats.org/officeDocument/2006/relationships/hyperlink" Target="row.docx" TargetMode="External"/><Relationship Id="rId11" Type="http://schemas.openxmlformats.org/officeDocument/2006/relationships/hyperlink" Target="end.docx" TargetMode="External"/><Relationship Id="rId12" Type="http://schemas.openxmlformats.org/officeDocument/2006/relationships/hyperlink" Target="ST_ParameterVal.docx" TargetMode="External"/><Relationship Id="rId13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