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5_1" w:id="100001"/>
      <w:bookmarkStart w:name="book8536592a-1acc-4233-a324-89433233597b_1" w:id="100002"/>
      <w:r>
        <w:t>ST_ConstraintType</w:t>
      </w:r>
      <w:r>
        <w:t xml:space="preserve"> (Constraint Type)</w:t>
      </w:r>
      <w:bookmarkEnd w:id="100001"/>
    </w:p>
    <w:bookmarkEnd w:id="100002"/>
    <w:p w:rsidRDefault="00B82E19" w:rsidP="00B82E19" w:rsidR="00B82E19">
      <w:r>
        <w:t>This simple type defines the list of possible constraints available for use.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alignOff</w:t>
            </w:r>
            <w:r>
              <w:t xml:space="preserve"> (Alignment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defines the alignment offset for a node.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bottom of the node.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begMarg</w:t>
            </w:r>
            <w:r>
              <w:t xml:space="preserve"> (Beginning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beginning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begPad</w:t>
            </w:r>
            <w:r>
              <w:t xml:space="preserve"> (Beginning Padding)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beginning padding.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bendDist</w:t>
            </w:r>
            <w:r>
              <w:t xml:space="preserve"> (Bending Distance)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distance from the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of a connector to a bend in the connector.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bMarg</w:t>
            </w:r>
            <w:r>
              <w:t xml:space="preserve"> (Bottom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bottom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bOff</w:t>
            </w:r>
            <w:r>
              <w:t xml:space="preserve"> (Bottom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bottom offset.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connDist</w:t>
            </w:r>
            <w:r>
              <w:t xml:space="preserve"> (Connection Distance)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connection distance.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ctrX</w:t>
            </w:r>
            <w:r>
              <w:t xml:space="preserve"> (Center Height)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center of the height.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ctrXOff</w:t>
            </w:r>
            <w:r>
              <w:t xml:space="preserve"> (Center X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center x coordinate offset.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ctrY</w:t>
            </w:r>
            <w:r>
              <w:t xml:space="preserve"> (Center Width)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center of the width.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ctrYOff</w:t>
            </w:r>
            <w:r>
              <w:t xml:space="preserve"> (Center Y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center </w:t>
            </w:r>
            <w:hyperlink r:id="rId9">
              <w:r>
                <w:rPr>
                  <w:rStyle w:val="Hyperlink"/>
                </w:rPr>
                <w:t>y</w:t>
              </w:r>
            </w:hyperlink>
            <w:r>
              <w:t xml:space="preserve"> coordinate offset.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diam</w:t>
            </w:r>
            <w:r>
              <w:t xml:space="preserve"> (Diameter)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diameter.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endMarg</w:t>
            </w:r>
            <w:r>
              <w:t xml:space="preserve"> (End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ending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endPad</w:t>
            </w:r>
            <w:r>
              <w:t xml:space="preserve"> (End Padding)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padding.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height.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hArH</w:t>
            </w:r>
            <w:r>
              <w:t xml:space="preserve"> (Arrowhead Height)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height of the arrowhead portion of the connector.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hOff</w:t>
            </w:r>
            <w:r>
              <w:t xml:space="preserve"> (Height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amount to offset the height.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left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lMarg</w:t>
            </w:r>
            <w:r>
              <w:t xml:space="preserve"> (Left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left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lOff</w:t>
            </w:r>
            <w:r>
              <w:t xml:space="preserve"> (Left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left offset.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(Unknown)</w:t>
            </w:r>
          </w:p>
        </w:tc>
        <w:tc>
          <w:tcPr>
            <w:tcW w:type="pct" w:w="2500"/>
          </w:tcPr>
          <w:p w:rsidRDefault="00B82E19" w:rsidP="002E5918" w:rsidR="00B82E19">
            <w:r>
              <w:t>Unknown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primFontSz</w:t>
            </w:r>
            <w:r>
              <w:t xml:space="preserve"> (Primary Font Size)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primary font size.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pyraAcctRatio</w:t>
            </w:r>
            <w:r>
              <w:t xml:space="preserve"> (Pyramid Accent Ratio)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fraction of the width of the diagram that is reserved for the fly outs at their shortest distance.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right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rMarg</w:t>
            </w:r>
            <w:r>
              <w:t xml:space="preserve"> (Right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right margin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rOff</w:t>
            </w:r>
            <w:r>
              <w:t xml:space="preserve"> (Right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right offset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secFontSz</w:t>
            </w:r>
            <w:r>
              <w:t xml:space="preserve"> (Secondary Font Size)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secondary font size.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secSibSp</w:t>
            </w:r>
            <w:r>
              <w:t xml:space="preserve"> (Secondary Sibling Spacing)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secondary sibling spacing.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sibSp</w:t>
            </w:r>
            <w:r>
              <w:t xml:space="preserve"> (Sibling Spacing)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minimum distance between sibling shapes.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(Spacing)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spacing defined.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stemThick</w:t>
            </w:r>
            <w:r>
              <w:t xml:space="preserve"> (Stem Thickness)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</w:t>
            </w:r>
            <w:hyperlink r:id="rId13">
              <w:r>
                <w:rPr>
                  <w:rStyle w:val="Hyperlink"/>
                </w:rPr>
                <w:t>thickness</w:t>
              </w:r>
            </w:hyperlink>
            <w:r>
              <w:t xml:space="preserve"> of the arrow’s shaft.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top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tMarg</w:t>
            </w:r>
            <w:r>
              <w:t xml:space="preserve"> (Top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Top margin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tOff</w:t>
            </w:r>
            <w:r>
              <w:t xml:space="preserve"> (Top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Top offset constraint.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userA</w:t>
            </w:r>
            <w:r>
              <w:t xml:space="preserve"> (User Defined A)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userB</w:t>
            </w:r>
            <w:r>
              <w:t xml:space="preserve"> (User Defined B)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userC</w:t>
            </w:r>
            <w:r>
              <w:t xml:space="preserve"> (User Defined C)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userD</w:t>
            </w:r>
            <w:r>
              <w:t xml:space="preserve"> (User Defined D)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userE</w:t>
            </w:r>
            <w:r>
              <w:t xml:space="preserve"> (User Defined E)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userF</w:t>
            </w:r>
            <w:r>
              <w:t xml:space="preserve"> (User Defined F)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userG</w:t>
            </w:r>
            <w:r>
              <w:t xml:space="preserve"> (User Defined G)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userH</w:t>
            </w:r>
            <w:r>
              <w:t xml:space="preserve"> (User Defined H)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userI</w:t>
            </w:r>
            <w:r>
              <w:t xml:space="preserve"> (User Defined I)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userJ</w:t>
            </w:r>
            <w:r>
              <w:t xml:space="preserve"> (User Defined J)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userK</w:t>
            </w:r>
            <w:r>
              <w:t xml:space="preserve"> (User Defined K)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userL</w:t>
            </w:r>
            <w:r>
              <w:t xml:space="preserve"> (User Defined L)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userM</w:t>
            </w:r>
            <w:r>
              <w:t xml:space="preserve"> (User Defined M)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userN</w:t>
            </w:r>
            <w:r>
              <w:t xml:space="preserve"> (User Defined N)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userO</w:t>
            </w:r>
            <w:r>
              <w:t xml:space="preserve"> (User Defined O)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userP</w:t>
            </w:r>
            <w:r>
              <w:t xml:space="preserve"> (User Defined P)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userQ</w:t>
            </w:r>
            <w:r>
              <w:t xml:space="preserve"> (User Defined Q)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userR</w:t>
            </w:r>
            <w:r>
              <w:t xml:space="preserve"> (User Defined R)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userS</w:t>
            </w:r>
            <w:r>
              <w:t xml:space="preserve"> (User Defined S)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userT</w:t>
            </w:r>
            <w:r>
              <w:t xml:space="preserve"> (User Defined T)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userU</w:t>
            </w:r>
            <w:r>
              <w:t xml:space="preserve"> (User Defined U)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userV</w:t>
            </w:r>
            <w:r>
              <w:t xml:space="preserve"> (User Defined V)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userW</w:t>
            </w:r>
            <w:r>
              <w:t xml:space="preserve"> (User Defined W)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userX</w:t>
            </w:r>
            <w:r>
              <w:t xml:space="preserve"> (User Defined X)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userY</w:t>
            </w:r>
            <w:r>
              <w:t xml:space="preserve"> (User Defined Y)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userZ</w:t>
            </w:r>
            <w:r>
              <w:t xml:space="preserve"> (User Defined Z)</w:t>
            </w:r>
          </w:p>
        </w:tc>
        <w:tc>
          <w:tcPr>
            <w:tcW w:type="pct" w:w="2500"/>
          </w:tcPr>
          <w:p w:rsidRDefault="00B82E19" w:rsidP="002E5918" w:rsidR="00B82E19">
            <w:r>
              <w:t>User defined information.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width parameter.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wArH</w:t>
            </w:r>
            <w:r>
              <w:t xml:space="preserve"> (Arrowhead Width)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width of the arrowhead portion of the connector.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wOff</w:t>
            </w:r>
            <w:r>
              <w:t xml:space="preserve"> (Width Offset)</w:t>
            </w:r>
          </w:p>
        </w:tc>
        <w:tc>
          <w:tcPr>
            <w:tcW w:type="pct" w:w="2500"/>
          </w:tcPr>
          <w:p w:rsidRDefault="00B82E19" w:rsidP="002E5918" w:rsidR="00B82E19">
            <w:r>
              <w:t>Offsets the width by the specified amount.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constr@refType</w:t>
            </w:r>
            <w:r>
              <w:t xml:space="preserve"> (§</w:t>
            </w:r>
            <w:fldSimple w:instr="REF bookd1f6a82b-898b-4674-8237-b811b949c00c \r \h">
              <w:r>
                <w:t>5.9.2.8</w:t>
              </w:r>
            </w:fldSimple>
            <w:r>
              <w:t xml:space="preserve">); </w:t>
            </w:r>
            <w:r>
              <w:t>constr@type</w:t>
            </w:r>
            <w:r>
              <w:t xml:space="preserve"> (§</w:t>
            </w:r>
            <w:fldSimple w:instr="REF bookd1f6a82b-898b-4674-8237-b811b949c00c \r \h">
              <w:r>
                <w:t>5.9.2.8</w:t>
              </w:r>
            </w:fldSimple>
            <w:r>
              <w:t xml:space="preserve">); </w:t>
            </w:r>
            <w:r>
              <w:t>rule@type</w:t>
            </w:r>
            <w:r>
              <w:t xml:space="preserve"> (§</w:t>
            </w:r>
            <w:fldSimple w:instr="REF book8282eae7-15dd-4130-ab79-cb0718b60182 \r \h">
              <w:r>
                <w:t>5.9.2.24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="ST_ConstraintType"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value="alignOff"/&gt;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value="begMarg"/&gt;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value="bendDist"/&gt;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value="begPad"/&gt;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value="ctrX"/&gt;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value="ctrXOff"/&gt;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value="ctrYOff"/&gt;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value="connDist"/&gt;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value="endMarg"/&gt;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value="endPad"/&gt;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h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value="hArH"/&gt;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value="primFontSz"/&gt;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value="pyraAcctRatio"/&gt;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value="secFontSz"/&gt;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value="sibSp"/&gt;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value="secSibSp"/&gt;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sp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value="stemThick"/&gt;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value="tMarg"/&gt;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value="userC"/&gt;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value="userI"/&gt;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value="userJ"/&gt;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value="userO"/&gt;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value="userQ"/&gt;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value="userU"/&gt;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value="userV"/&gt;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value="userX"/&gt;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value="userZ"/&gt;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5">
        <w:r>
          <w:rPr>
            <w:rStyle w:val="Hyperlink"/>
          </w:rPr>
          <w:t>w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value="wArH"/&gt;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value="wOff"/&gt;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rt.docx" TargetMode="External"/><Relationship Id="rId9" Type="http://schemas.openxmlformats.org/officeDocument/2006/relationships/hyperlink" Target="y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h.docx" TargetMode="External"/><Relationship Id="rId12" Type="http://schemas.openxmlformats.org/officeDocument/2006/relationships/hyperlink" Target="sp.docx" TargetMode="External"/><Relationship Id="rId13" Type="http://schemas.openxmlformats.org/officeDocument/2006/relationships/hyperlink" Target="thickness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