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22_1" w:id="100001"/>
      <w:bookmarkStart w:name="bookf51a97b8-b6d1-4936-bbea-6a0d5484d3bf_1" w:id="100002"/>
      <w:r>
        <w:t>ST_ConnectorPoint</w:t>
      </w:r>
      <w:r>
        <w:t xml:space="preserve"> (Connector Point)</w:t>
      </w:r>
      <w:bookmarkEnd w:id="100001"/>
    </w:p>
    <w:bookmarkEnd w:id="100002"/>
    <w:p w:rsidRDefault="00B82E19" w:rsidP="00B82E19" w:rsidR="00B82E19">
      <w:r>
        <w:t>This simple type defines different connection sites available on a node.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auto</w:t>
              </w:r>
            </w:hyperlink>
            <w:r>
              <w:t/>
            </w:r>
            <w:r>
              <w:t xml:space="preserve"> (Auto)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algorithm will determine the best connection site to use.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bCtr</w:t>
            </w:r>
            <w:r>
              <w:t xml:space="preserve"> (Bottom Center)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bottom, center connection site is to be used.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</w:t>
            </w:r>
            <w:r>
              <w:t xml:space="preserve"> (Bottom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bottom, left connection site is to be used.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bR</w:t>
            </w:r>
            <w:r>
              <w:t xml:space="preserve"> (Bottom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bottom right connection site is to be used.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ctr</w:t>
            </w:r>
            <w:r>
              <w:t xml:space="preserve"> (Center)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center connection site is to be used.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midL</w:t>
            </w:r>
            <w:r>
              <w:t xml:space="preserve"> (Middle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middle left connection site is to be used.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midR</w:t>
            </w:r>
            <w:r>
              <w:t xml:space="preserve"> (Middle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middle right connection site is to be used.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radial</w:t>
            </w:r>
            <w:r>
              <w:t xml:space="preserve"> (Radial)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connections along a radial </w:t>
            </w:r>
            <w:hyperlink r:id="rId9">
              <w:r>
                <w:rPr>
                  <w:rStyle w:val="Hyperlink"/>
                </w:rPr>
                <w:t>path</w:t>
              </w:r>
            </w:hyperlink>
            <w:r>
              <w:t xml:space="preserve"> to support the use of connections in cycle diagrams.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tCtr</w:t>
            </w:r>
            <w:r>
              <w:t xml:space="preserve"> (Top Center)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top center connection site is to be used.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tL</w:t>
            </w:r>
            <w:r>
              <w:t xml:space="preserve"> (Top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top left connection site is to be used.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</w:t>
            </w:r>
            <w:r>
              <w:t xml:space="preserve"> (Top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that the top right connection site is to be used.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="ST_ConnectorPoint"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auto</w:t>
        </w:r>
      </w:hyperlink>
      <w:r>
        <w:t>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value="midL"/&gt;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value="midR"/&gt;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value="tCtr"/&gt;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value="radial"/&gt;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o.docx" TargetMode="External"/><Relationship Id="rId9" Type="http://schemas.openxmlformats.org/officeDocument/2006/relationships/hyperlink" Target="path.docx" TargetMode="External"/><Relationship Id="rId10" Type="http://schemas.openxmlformats.org/officeDocument/2006/relationships/hyperlink" Target="ST_ParameterVal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