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46_1" w:id="100001"/>
      <w:bookmarkStart w:name="booke785062b-5db7-4f87-93ec-2ddfbcf8e33c_1" w:id="100002"/>
      <w:r>
        <w:t>ST_BuiltInUnit</w:t>
      </w:r>
      <w:r>
        <w:t xml:space="preserve"> (Built-In Unit)</w:t>
      </w:r>
      <w:bookmarkEnd w:id="100001"/>
    </w:p>
    <w:bookmarkEnd w:id="100002"/>
    <w:p w:rsidRDefault="00B82E19" w:rsidP="00B82E19" w:rsidR="00B82E19">
      <w:r>
        <w:t>This simple type specifies the built in display units for an axis.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billions</w:t>
            </w:r>
            <w:r>
              <w:t xml:space="preserve"> (Billions)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 the chart shall be divided by 1,000,000,000.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hundredMillions</w:t>
            </w:r>
            <w:r>
              <w:t xml:space="preserve"> (Hundred Millions)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100,000,000.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hundreds</w:t>
            </w:r>
            <w:r>
              <w:t xml:space="preserve"> (Hundreds)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hundredThousands</w:t>
            </w:r>
            <w:r>
              <w:t xml:space="preserve"> (Hundred Thousands)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100,000.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millions</w:t>
            </w:r>
            <w:r>
              <w:t xml:space="preserve"> (Millions)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1,000,000.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tenMillions</w:t>
            </w:r>
            <w:r>
              <w:t xml:space="preserve"> (Ten Millions)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10,000,000.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tenThousands</w:t>
            </w:r>
            <w:r>
              <w:t xml:space="preserve"> (Ten Thousands)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10,000.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thousands</w:t>
            </w:r>
            <w:r>
              <w:t xml:space="preserve"> (Thousands)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1,000.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trillions</w:t>
            </w:r>
            <w:r>
              <w:t xml:space="preserve"> (Trillions)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the values on the chart shall be divided by 1,000,000,000.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builtInUnit@val</w:t>
            </w:r>
            <w:r>
              <w:t xml:space="preserve"> (§</w:t>
            </w:r>
            <w:fldSimple w:instr="REF bookb48c0632-d5ef-4407-8590-9ebbf16cdb69 \r \h">
              <w:r>
                <w:t>5.7.2.23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="ST_BuiltInUnit"&gt;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value="hundreds"/&gt;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value="thousands"/&gt;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value="tenThousands"/&gt;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value="hundredThousands"/&gt;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value="millions"/&gt;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value="tenMillions"/&gt;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value="hundredMillions"/&gt;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value="billions"/&gt;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value="trillions"/&gt;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