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5_1" w:id="100001"/>
      <w:bookmarkStart w:name="book05859873-f615-4397-929c-0d946023cd76_1" w:id="100002"/>
      <w:r>
        <w:t>ST_Breakpoint</w:t>
      </w:r>
      <w:r>
        <w:t xml:space="preserve"> (Breakpoint)</w:t>
      </w:r>
      <w:bookmarkEnd w:id="100001"/>
    </w:p>
    <w:bookmarkEnd w:id="100002"/>
    <w:p w:rsidRDefault="00B82E19" w:rsidP="00B82E19" w:rsidR="00B82E19">
      <w:r>
        <w:t>This simple type defines at what point the wrapping of nodes occurs for the snake algorithm.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bal</w:t>
            </w:r>
            <w:r>
              <w:t xml:space="preserve"> (Balanced)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the number of nodes in every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and every column should be equal.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endCnv</w:t>
            </w:r>
            <w:r>
              <w:t xml:space="preserve"> (End of Canvas)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that nodes are added to the next column or </w:t>
            </w:r>
            <w:hyperlink r:id="rId8">
              <w:r>
                <w:rPr>
                  <w:rStyle w:val="Hyperlink"/>
                </w:rPr>
                <w:t>row</w:t>
              </w:r>
            </w:hyperlink>
            <w:r>
              <w:t xml:space="preserve"> after filling the current column or row's space.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fixed</w:t>
            </w:r>
            <w:r>
              <w:t xml:space="preserve"> (Fixed)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to use a user defined number of nodes in a column or row.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="ST_Breakpoint"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value="endCnv"/&gt;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value="fixed"/&gt;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ow.docx" TargetMode="External"/><Relationship Id="rId9" Type="http://schemas.openxmlformats.org/officeDocument/2006/relationships/hyperlink" Target="ST_Parameter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