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44_1" w:id="100001"/>
      <w:bookmarkStart w:name="bookea161a60-f309-4586-827c-4ae0253953b2_1" w:id="100002"/>
      <w:r>
        <w:t>ST_BlackWhiteMode</w:t>
      </w:r>
      <w:r>
        <w:t xml:space="preserve"> (Black and White Mode)</w:t>
      </w:r>
      <w:bookmarkEnd w:id="100001"/>
    </w:p>
    <w:bookmarkEnd w:id="100002"/>
    <w:p w:rsidRDefault="00B82E19" w:rsidP="00B82E19" w:rsidR="00B82E19">
      <w:r>
        <w:t>This simple type specifies how an object should be rendered when specified to be in black and white mode.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auto</w:t>
              </w:r>
            </w:hyperlink>
            <w:r>
              <w:t/>
            </w:r>
            <w:r>
              <w:t xml:space="preserve"> (Automatic)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 automatic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black</w:t>
            </w:r>
            <w:r>
              <w:t xml:space="preserve"> (Black)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 black-only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blackGray</w:t>
            </w:r>
            <w:r>
              <w:t xml:space="preserve"> (Black and Gray)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 black and gray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blackWhite</w:t>
            </w:r>
            <w:r>
              <w:t xml:space="preserve"> (Black and White)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within black and white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clr</w:t>
            </w:r>
            <w:r>
              <w:t xml:space="preserve"> (Color)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 normal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gray</w:t>
            </w:r>
            <w:r>
              <w:t xml:space="preserve"> (Gray)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 gray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grayWhite</w:t>
            </w:r>
            <w:r>
              <w:t xml:space="preserve"> (Gray and White)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within gray and white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hidden</w:t>
            </w:r>
            <w:r>
              <w:t xml:space="preserve"> (Hidden)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 hidden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invGray</w:t>
            </w:r>
            <w:r>
              <w:t xml:space="preserve"> (Inverse Gray)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 inverse gray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ltGray</w:t>
            </w:r>
            <w:r>
              <w:t xml:space="preserve"> (Light Gray)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 light gray coloring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white</w:t>
            </w:r>
            <w:r>
              <w:t xml:space="preserve"> (White)</w:t>
            </w:r>
          </w:p>
        </w:tc>
        <w:tc>
          <w:tcPr>
            <w:tcW w:type="pct" w:w="2500"/>
          </w:tcPr>
          <w:p w:rsidRDefault="00B82E19" w:rsidP="002E5918" w:rsidR="00B82E19">
            <w:r>
              <w:t>Object rendered within white coloirng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bg@bwMode</w:t>
            </w:r>
            <w:r>
              <w:t xml:space="preserve"> (§</w:t>
            </w:r>
            <w:fldSimple w:instr="REF booka530d852-6b9a-46bb-9053-1312a3610c9c \r \h">
              <w:r>
                <w:t>4.4.1.1</w:t>
              </w:r>
            </w:fldSimple>
            <w:r>
              <w:t xml:space="preserve">); </w:t>
            </w:r>
            <w:r>
              <w:t>grpSpPr@bwMode</w:t>
            </w:r>
            <w:r>
              <w:t xml:space="preserve"> (§</w:t>
            </w:r>
            <w:fldSimple w:instr="REF bookbc7a2503-ee99-4b67-8303-170512b5f4d8 \r \h">
              <w:r>
                <w:t>5.8.2.14</w:t>
              </w:r>
            </w:fldSimple>
            <w:r>
              <w:t xml:space="preserve">); </w:t>
            </w:r>
            <w:r>
              <w:t>grpSpPr@bwMode</w:t>
            </w:r>
            <w:r>
              <w:t xml:space="preserve"> (§</w:t>
            </w:r>
            <w:fldSimple w:instr="REF book8a061d32-2ffe-4f7c-a106-246c4ff4c9ee \r \h">
              <w:r>
                <w:t>4.4.1.20</w:t>
              </w:r>
            </w:fldSimple>
            <w:r>
              <w:t xml:space="preserve">); </w:t>
            </w:r>
            <w:r>
              <w:t>grpSpPr@bwMode</w:t>
            </w:r>
            <w:r>
              <w:t xml:space="preserve"> (§</w:t>
            </w:r>
            <w:fldSimple w:instr="REF bookcbdda19c-423a-4892-bc06-a4b90a184d0b \r \h">
              <w:r>
                <w:t>5.1.2.1.22</w:t>
              </w:r>
            </w:fldSimple>
            <w:r>
              <w:t xml:space="preserve">); </w:t>
            </w:r>
            <w:r>
              <w:t>grpSpPr@bwMode</w:t>
            </w:r>
            <w:r>
              <w:t xml:space="preserve"> (§</w:t>
            </w:r>
            <w:fldSimple w:instr="REF book894ece1c-c37d-450b-be8e-d4a953fdbb8f \r \h">
              <w:r>
                <w:t>5.6.2.17</w:t>
              </w:r>
            </w:fldSimple>
            <w:r>
              <w:t xml:space="preserve">); </w:t>
            </w:r>
            <w:r>
              <w:t>spPr@bwMode</w:t>
            </w:r>
            <w:r>
              <w:t xml:space="preserve"> (§</w:t>
            </w:r>
            <w:fldSimple w:instr="REF book157d2a6d-6df9-4a2b-9eeb-10274cc89cc7 \r \h">
              <w:r>
                <w:t>5.6.2.29</w:t>
              </w:r>
            </w:fldSimple>
            <w:r>
              <w:t xml:space="preserve">); </w:t>
            </w:r>
            <w:r>
              <w:t>spPr@bwMode</w:t>
            </w:r>
            <w:r>
              <w:t xml:space="preserve"> (§</w:t>
            </w:r>
            <w:fldSimple w:instr="REF book39f35688-527d-48e7-aa97-24f53b4acf9f \r \h">
              <w:r>
                <w:t>5.7.2.198</w:t>
              </w:r>
            </w:fldSimple>
            <w:r>
              <w:t xml:space="preserve">); </w:t>
            </w:r>
            <w:r>
              <w:t>spPr@bwMode</w:t>
            </w:r>
            <w:r>
              <w:t xml:space="preserve"> (§</w:t>
            </w:r>
            <w:fldSimple w:instr="REF bookfc47be16-560d-4222-bbc9-4eaa59f7407e \r \h">
              <w:r>
                <w:t>5.8.2.23</w:t>
              </w:r>
            </w:fldSimple>
            <w:r>
              <w:t xml:space="preserve">); </w:t>
            </w:r>
            <w:r>
              <w:t>spPr@bwMode</w:t>
            </w:r>
            <w:r>
              <w:t xml:space="preserve"> (§</w:t>
            </w:r>
            <w:fldSimple w:instr="REF book76ae0408-b315-4964-ba56-6ba1fc9d31b0 \r \h">
              <w:r>
                <w:t>5.1.2.1.35</w:t>
              </w:r>
            </w:fldSimple>
            <w:r>
              <w:t xml:space="preserve">); </w:t>
            </w:r>
            <w:r>
              <w:t>spPr@bwMode</w:t>
            </w:r>
            <w:r>
              <w:t xml:space="preserve"> (§</w:t>
            </w:r>
            <w:fldSimple w:instr="REF book071006db-4ac1-436f-87d8-96ed0d370ca2 \r \h">
              <w:r>
                <w:t>4.4.1.41</w:t>
              </w:r>
            </w:fldSimple>
            <w:r>
              <w:t xml:space="preserve">); </w:t>
            </w:r>
            <w:r>
              <w:t>spPr@bwMode</w:t>
            </w:r>
            <w:r>
              <w:t xml:space="preserve"> (§</w:t>
            </w:r>
            <w:fldSimple w:instr="REF book74b46beb-821c-47a1-9620-9e8faf26e65f \r \h">
              <w:r>
                <w:t>5.9.3.7</w:t>
              </w:r>
            </w:fldSimple>
            <w:r>
              <w:t xml:space="preserve">); </w:t>
            </w:r>
            <w:r>
              <w:t>spPr@bwMode</w:t>
            </w:r>
            <w:r>
              <w:t xml:space="preserve"> (§</w:t>
            </w:r>
            <w:fldSimple w:instr="REF booka1457d79-6bb6-420e-a0c1-b98bd3b5da7f \r \h">
              <w:r>
                <w:t>5.2.2.6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="ST_BlackWhiteMode"&gt;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auto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value="invGray"/&gt;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value="grayWhite"/&gt;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value="blackGray"/&gt;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value="blackWhite"/&gt;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value="white"/&gt;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value="hidden"/&gt;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o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