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43_1" w:id="100001"/>
      <w:bookmarkStart w:name="book20457999-b9a6-4b7d-b223-52274d458434_1" w:id="100002"/>
      <w:r>
        <w:t>ST_BarDir</w:t>
      </w:r>
      <w:r>
        <w:t xml:space="preserve"> (Bar Direction)</w:t>
      </w:r>
      <w:bookmarkEnd w:id="100001"/>
    </w:p>
    <w:bookmarkEnd w:id="100002"/>
    <w:p w:rsidRDefault="00B82E19" w:rsidP="00B82E19" w:rsidR="00B82E19">
      <w:r>
        <w:t>This simple type specifies the possible directions for a bar chart.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bar</w:t>
            </w:r>
            <w:r>
              <w:t xml:space="preserve"> (Bar)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is a bar chart - the data markers are horizontal rectangles.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col</w:t>
              </w:r>
            </w:hyperlink>
            <w:r>
              <w:t/>
            </w:r>
            <w:r>
              <w:t xml:space="preserve"> (Column)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is a column chart - the data markers are vertical rectangles.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barDir@val</w:t>
            </w:r>
            <w:r>
              <w:t xml:space="preserve"> (§</w:t>
            </w:r>
            <w:fldSimple w:instr="REF book55593786-f12f-4b40-95ae-dcc76f78ea0e \r \h">
              <w:r>
                <w:t>5.7.2.17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="ST_BarDir"&gt;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col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