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07.emf" ContentType="image/x-emf"/>
  <Override PartName="/word/media/image508.emf" ContentType="image/x-emf"/>
  <Override PartName="/word/media/image509.emf" ContentType="image/x-emf"/>
  <Override PartName="/word/media/image510.emf" ContentType="image/x-emf"/>
  <Override PartName="/word/media/image511.emf" ContentType="image/x-emf"/>
  <Override PartName="/word/media/image512.emf" ContentType="image/x-emf"/>
  <Override PartName="/word/media/image513.emf" ContentType="image/x-emf"/>
  <Override PartName="/word/media/image514.emf" ContentType="image/x-emf"/>
  <Override PartName="/word/media/image515.emf" ContentType="image/x-emf"/>
  <Override PartName="/word/media/image516.emf" ContentType="image/x-emf"/>
  <Override PartName="/word/media/image517.emf" ContentType="image/x-emf"/>
  <Override PartName="/word/media/image518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10_1" w:id="100001"/>
      <w:bookmarkStart w:name="book28d2fbf2-2385-4895-97fd-c89a76471a07_1" w:id="100002"/>
      <w:r>
        <w:t>ST_AxisType</w:t>
      </w:r>
      <w:r>
        <w:t xml:space="preserve"> (Axis Type)</w:t>
      </w:r>
      <w:bookmarkEnd w:id="100001"/>
    </w:p>
    <w:bookmarkEnd w:id="100002"/>
    <w:p w:rsidRDefault="00B82E19" w:rsidP="00B82E19" w:rsidR="00B82E19">
      <w:r>
        <w:t>This simple type defines different node sets in relation to the current context node.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ancst</w:t>
            </w:r>
            <w:r>
              <w:t xml:space="preserve"> (Ancestor)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set of nodes between the current context node and the root node, including the root node.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65468" cx="2747527"/>
                  <wp:effectExtent b="0" r="0" t="0" l="0"/>
                  <wp:docPr name="Picture 190" id="5161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65468" cx="274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ancstOrSelf</w:t>
            </w:r>
            <w:r>
              <w:t xml:space="preserve"> (Ancestor or Self)</w:t>
            </w:r>
          </w:p>
        </w:tc>
        <w:tc>
          <w:tcPr>
            <w:tcW w:type="pct" w:w="2500"/>
          </w:tcPr>
          <w:sdt>
            <w:sdtPr>
              <w:alias w:val="6967a04e-4606-46a1-b429-29c3f0f6144d"/>
              <w:id w:val="180965193"/>
            </w:sdtPr>
            <w:sdtContent>
              <w:p w:rsidRDefault="00B82E19" w:rsidP="002E5918" w:rsidR="00B82E19">
                <w:r>
                  <w:t>Specifies a set of nodes between the current context node and the root node, including the root node and the context node.</w:t>
                </w:r>
              </w:p>
              <w:p w:rsidRDefault="00B82E19" w:rsidP="002E5918" w:rsidR="00B82E19"/>
              <w:p w:rsidRDefault="00B82E19" w:rsidP="002E5918" w:rsidR="00B82E19">
                <w:r>
                  <w:t>[</w:t>
                </w:r>
                <w:r>
                  <w:t>Example</w:t>
                </w:r>
                <w:r>
                  <w:t>:  Consider the following example</w:t>
                </w:r>
              </w:p>
              <w:p w:rsidRDefault="00B82E19" w:rsidP="002E5918" w:rsidR="00B82E19">
                <w:r>
                  <w:drawing>
                    <wp:inline distR="0" distL="0" distB="0" distT="0">
                      <wp:extent cy="2059806" cx="2743200"/>
                      <wp:effectExtent b="0" r="0" t="0" l="0"/>
                      <wp:docPr name="Picture 191" id="87496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Picture 191" id="0"/>
                              <pic:cNvPicPr>
                                <a:picLocks noChangeArrowheads="true" noChangeAspect="true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y="0" x="0"/>
                                <a:ext cy="2059806" cx="274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Default="00B82E19" w:rsidP="002E5918" w:rsidR="00B82E19">
                <w:r>
                  <w:t/>
                </w:r>
                <w:hyperlink r:id="rId20">
                  <w:r>
                    <w:rPr>
                      <w:rStyle w:val="Hyperlink"/>
                    </w:rPr>
                    <w:t>end</w:t>
                  </w:r>
                </w:hyperlink>
                <w:r>
                  <w:t xml:space="preserve"> example</w:t>
                </w:r>
                <w:r>
                  <w:t>]</w:t>
                </w:r>
              </w:p>
            </w:sdtContent>
          </w:sdt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ch</w:t>
            </w:r>
            <w:r>
              <w:t xml:space="preserve"> (Child)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a set of children of the current context node. 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59806" cx="2743200"/>
                  <wp:effectExtent b="0" r="0" t="0" l="0"/>
                  <wp:docPr name="Picture 192" id="1257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5980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des</w:t>
            </w:r>
            <w:r>
              <w:t xml:space="preserve"> (Descendant)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set of all nodes beneath the current context node.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59806" cx="2743200"/>
                  <wp:effectExtent b="0" r="0" t="0" l="0"/>
                  <wp:docPr name="Picture 193" id="9621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5980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desOrSelf</w:t>
            </w:r>
            <w:r>
              <w:t xml:space="preserve"> (Descendant or Self)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set of all nodes beneath the current context node, including the context node.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59806" cx="2743200"/>
                  <wp:effectExtent b="0" r="0" t="0" l="0"/>
                  <wp:docPr name="Picture 194" id="3209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5980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follow</w:t>
            </w:r>
            <w:r>
              <w:t xml:space="preserve"> (Follow)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set of nodes which are peers after the context node and all descendants of the peers.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59806" cx="2743200"/>
                  <wp:effectExtent b="0" r="0" t="0" l="0"/>
                  <wp:docPr name="Picture 195" id="1532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5980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followSib</w:t>
            </w:r>
            <w:r>
              <w:t xml:space="preserve"> (Follow Sibling)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set of nodes which are peers after the context node.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59806" cx="2743200"/>
                  <wp:effectExtent b="0" r="0" t="0" l="0"/>
                  <wp:docPr name="Picture 200" id="2337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0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5980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no node.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par</w:t>
            </w:r>
            <w:r>
              <w:t xml:space="preserve"> (Parent)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parent node.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59806" cx="2743200"/>
                  <wp:effectExtent b="0" r="0" t="0" l="0"/>
                  <wp:docPr name="Picture 197" id="6797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5980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preced</w:t>
            </w:r>
            <w:r>
              <w:t xml:space="preserve"> (Preceding)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set of nodes which are peers before the context node and all the descendants of the peers.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59806" cx="2743200"/>
                  <wp:effectExtent b="0" r="0" t="0" l="0"/>
                  <wp:docPr name="Picture 198" id="4289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5980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precedSib</w:t>
            </w:r>
            <w:r>
              <w:t xml:space="preserve"> (Preceding Sibling)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set of nodes which are peers before the context node.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59806" cx="2743200"/>
                  <wp:effectExtent b="0" r="0" t="0" l="0"/>
                  <wp:docPr name="Picture 199" id="701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5980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root</w:t>
            </w:r>
            <w:r>
              <w:t xml:space="preserve"> (Root)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top-most node of the diagram.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59806" cx="2743200"/>
                  <wp:effectExtent b="0" r="0" t="0" l="0"/>
                  <wp:docPr name="Picture 201" id="2653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0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5980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self</w:t>
            </w:r>
            <w:r>
              <w:t xml:space="preserve"> (Self)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calling context node.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</w:t>
            </w:r>
          </w:p>
          <w:p w:rsidRDefault="00B82E19" w:rsidP="002E5918" w:rsidR="00B82E19">
            <w:r>
              <w:drawing>
                <wp:inline distR="0" distL="0" distB="0" distT="0">
                  <wp:extent cy="2059806" cx="2743200"/>
                  <wp:effectExtent b="0" r="0" t="0" l="0"/>
                  <wp:docPr name="Picture 202" id="7669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0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5980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ST_AxisType</w:t>
            </w:r>
            <w:r>
              <w:t xml:space="preserve"> (§</w:t>
            </w:r>
            <w:fldSimple w:instr="REF book28d2fbf2-2385-4895-97fd-c89a76471a07_1 \r \h">
              <w:r>
                <w:t>5.9.7.6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1">
        <w:r>
          <w:rPr>
            <w:rStyle w:val="Hyperlink"/>
          </w:rPr>
          <w:t>name</w:t>
        </w:r>
      </w:hyperlink>
      <w:r>
        <w:t>="ST_AxisType"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value="self"/&gt;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value="desOrSelf"/&gt;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value="ancst"/&gt;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value="ancstOrSelf"/&gt;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value="followSib"/&gt;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value="precedSib"/&gt;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value="follow"/&gt;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value="preced"/&gt;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value="root"/&gt;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07.emf"></Relationship><Relationship Id="rId9" Type="http://schemas.openxmlformats.org/officeDocument/2006/relationships/image" Target="media/image508.emf"></Relationship><Relationship Id="rId10" Type="http://schemas.openxmlformats.org/officeDocument/2006/relationships/image" Target="media/image509.emf"></Relationship><Relationship Id="rId11" Type="http://schemas.openxmlformats.org/officeDocument/2006/relationships/image" Target="media/image510.emf"></Relationship><Relationship Id="rId12" Type="http://schemas.openxmlformats.org/officeDocument/2006/relationships/image" Target="media/image511.emf"></Relationship><Relationship Id="rId13" Type="http://schemas.openxmlformats.org/officeDocument/2006/relationships/image" Target="media/image512.emf"></Relationship><Relationship Id="rId14" Type="http://schemas.openxmlformats.org/officeDocument/2006/relationships/image" Target="media/image513.emf"></Relationship><Relationship Id="rId15" Type="http://schemas.openxmlformats.org/officeDocument/2006/relationships/image" Target="media/image514.emf"></Relationship><Relationship Id="rId16" Type="http://schemas.openxmlformats.org/officeDocument/2006/relationships/image" Target="media/image515.emf"></Relationship><Relationship Id="rId17" Type="http://schemas.openxmlformats.org/officeDocument/2006/relationships/image" Target="media/image516.emf"></Relationship><Relationship Id="rId18" Type="http://schemas.openxmlformats.org/officeDocument/2006/relationships/image" Target="media/image517.emf"></Relationship><Relationship Id="rId19" Type="http://schemas.openxmlformats.org/officeDocument/2006/relationships/image" Target="media/image518.emf"></Relationship><Relationship Id="rId20" Type="http://schemas.openxmlformats.org/officeDocument/2006/relationships/hyperlink" Target="end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