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709_1" w:id="100001"/>
      <w:bookmarkStart w:name="book6df5f949-38ee-471e-ae2c-9c808a328dd0_1" w:id="100002"/>
      <w:r>
        <w:t>ST_AutoTextRotation</w:t>
      </w:r>
      <w:r>
        <w:t xml:space="preserve"> (Auto Text Rotation)</w:t>
      </w:r>
      <w:bookmarkEnd w:id="100001"/>
    </w:p>
    <w:bookmarkEnd w:id="100002"/>
    <w:p w:rsidRDefault="00B82E19" w:rsidP="00B82E19" w:rsidR="00B82E19">
      <w:r>
        <w:t>This simple type defines how text rotates within a shape when the shape is rotated by an algorithm during layout.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grav</w:t>
            </w:r>
            <w:r>
              <w:t xml:space="preserve"> (Gravity)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when the angle of the text hits the threshold of 90 degrees and 180 degrees, the text rotates by 180 degrees.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none</w:t>
            </w:r>
            <w:r>
              <w:t xml:space="preserve"> (None)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text always rotates with the shape.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upr</w:t>
            </w:r>
            <w:r>
              <w:t xml:space="preserve"> (Upright)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when the text angle hits 45, 135, 225, or 315 degree thresholds, then it rotates by negative 90 degrees.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ST_ParameterVal</w:t>
              </w:r>
            </w:hyperlink>
            <w:r>
              <w:t/>
            </w:r>
            <w:r>
              <w:t xml:space="preserve"> (§</w:t>
            </w:r>
            <w:fldSimple w:instr="REF book76d00bd0-0e58-440f-ab26-cb934b180a17 \r \h">
              <w:r>
                <w:t>5.9.7.49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9">
        <w:r>
          <w:rPr>
            <w:rStyle w:val="Hyperlink"/>
          </w:rPr>
          <w:t>name</w:t>
        </w:r>
      </w:hyperlink>
      <w:r>
        <w:t>="ST_AutoTextRotation" final="restriction"&gt;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value="none"/&gt;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value="upr"/&gt;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value="grav"/&gt;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ParameterVal.docx" TargetMode="External"/><Relationship Id="rId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