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8301_1" w:id="100001"/>
      <w:bookmarkStart w:name="TOCSection65_1" w:id="100002"/>
      <w:r>
        <w:t>Elements</w:t>
      </w:r>
      <w:bookmarkEnd w:id="100001"/>
    </w:p>
    <w:bookmarkEnd w:id="100002"/>
    <w:p w:rsidRDefault="00B82E19" w:rsidP="00B82E19" w:rsidR="00B82E19">
      <w:r>
        <w:t>In DrawingML, charts define a visualization of numeric data. The definition includes where the data shall come from, a cache of the data, and how the data shall be represented graphically. Other DrawingML elements are reused to define aspects of the formatting of the visualization.</w:t>
      </w:r>
    </w:p>
    <w:p w:rsidRDefault="00B82E19" w:rsidP="00B82E19" w:rsidR="00B82E19">
      <w:r>
        <w:t>See the informative material in Part 3 for a description and overview of the basic chart types and chart components.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